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112" w:rsidRPr="009618F9" w:rsidRDefault="00052112" w:rsidP="009618F9">
      <w:pPr>
        <w:keepNext/>
        <w:keepLines/>
        <w:pBdr>
          <w:top w:val="single" w:sz="4" w:space="1" w:color="auto"/>
          <w:left w:val="single" w:sz="4" w:space="4" w:color="auto"/>
          <w:bottom w:val="single" w:sz="4" w:space="1" w:color="auto"/>
          <w:right w:val="single" w:sz="4" w:space="4" w:color="auto"/>
        </w:pBdr>
        <w:shd w:val="clear" w:color="auto" w:fill="FFFFFF"/>
        <w:spacing w:before="480" w:after="240"/>
        <w:jc w:val="center"/>
        <w:outlineLvl w:val="0"/>
        <w:rPr>
          <w:rFonts w:ascii="Centaur" w:hAnsi="Centaur"/>
          <w:b/>
          <w:bCs/>
          <w:sz w:val="28"/>
          <w:szCs w:val="28"/>
        </w:rPr>
      </w:pPr>
      <w:r w:rsidRPr="009618F9">
        <w:rPr>
          <w:rFonts w:ascii="Centaur" w:hAnsi="Centaur"/>
          <w:b/>
          <w:bCs/>
          <w:sz w:val="28"/>
          <w:szCs w:val="28"/>
        </w:rPr>
        <w:t>EHPAD ST AUGUSTIN Gérée par la Fondation St Augustin</w:t>
      </w:r>
    </w:p>
    <w:p w:rsidR="00052112" w:rsidRPr="00F848AB" w:rsidRDefault="00052112" w:rsidP="009618F9">
      <w:pPr>
        <w:keepNext/>
        <w:keepLines/>
        <w:shd w:val="clear" w:color="auto" w:fill="FFFFFF"/>
        <w:spacing w:before="480" w:after="240"/>
        <w:jc w:val="both"/>
        <w:outlineLvl w:val="0"/>
        <w:rPr>
          <w:rFonts w:ascii="Centaur" w:hAnsi="Centaur"/>
          <w:b/>
          <w:bCs/>
          <w:sz w:val="28"/>
          <w:szCs w:val="28"/>
          <w:lang w:eastAsia="fr-FR"/>
        </w:rPr>
      </w:pPr>
      <w:r w:rsidRPr="00F848AB">
        <w:rPr>
          <w:rFonts w:ascii="Centaur" w:hAnsi="Centaur"/>
          <w:b/>
          <w:bCs/>
          <w:sz w:val="28"/>
          <w:szCs w:val="28"/>
        </w:rPr>
        <w:t xml:space="preserve">1 </w:t>
      </w:r>
      <w:bookmarkStart w:id="0" w:name="_Toc335745884"/>
      <w:r w:rsidRPr="00F848AB">
        <w:rPr>
          <w:rFonts w:ascii="Centaur" w:hAnsi="Centaur"/>
          <w:b/>
          <w:bCs/>
          <w:sz w:val="28"/>
          <w:szCs w:val="28"/>
        </w:rPr>
        <w:t xml:space="preserve">Quelques mots sur l’origine de </w:t>
      </w:r>
      <w:r w:rsidRPr="00F848AB">
        <w:rPr>
          <w:rFonts w:ascii="Centaur" w:hAnsi="Centaur"/>
          <w:b/>
          <w:bCs/>
          <w:sz w:val="28"/>
          <w:szCs w:val="28"/>
          <w:lang w:eastAsia="fr-FR"/>
        </w:rPr>
        <w:t>La Fondation</w:t>
      </w:r>
      <w:bookmarkEnd w:id="0"/>
    </w:p>
    <w:p w:rsidR="00052112" w:rsidRPr="00F848AB" w:rsidRDefault="00052112" w:rsidP="009618F9">
      <w:pPr>
        <w:shd w:val="clear" w:color="auto" w:fill="FFFFFF"/>
        <w:jc w:val="both"/>
        <w:rPr>
          <w:rFonts w:ascii="Centaur" w:hAnsi="Centaur" w:cs="Calibri"/>
          <w:sz w:val="24"/>
          <w:lang w:eastAsia="fr-FR"/>
        </w:rPr>
      </w:pPr>
      <w:bookmarkStart w:id="1" w:name="_Toc335745885"/>
      <w:r w:rsidRPr="00F848AB">
        <w:rPr>
          <w:rFonts w:ascii="Centaur" w:hAnsi="Centaur" w:cs="Calibri"/>
          <w:b/>
          <w:bCs/>
          <w:sz w:val="24"/>
          <w:lang w:eastAsia="fr-FR"/>
        </w:rPr>
        <w:t>La Fondation tient son origine d’une œuvre chrétienne de bienfaisance</w:t>
      </w:r>
      <w:bookmarkEnd w:id="1"/>
      <w:r w:rsidRPr="00F848AB">
        <w:rPr>
          <w:rFonts w:ascii="Centaur" w:hAnsi="Centaur" w:cs="Calibri"/>
          <w:b/>
          <w:bCs/>
          <w:sz w:val="24"/>
          <w:lang w:eastAsia="fr-FR"/>
        </w:rPr>
        <w:t xml:space="preserve"> créée </w:t>
      </w:r>
      <w:r w:rsidRPr="00F848AB">
        <w:rPr>
          <w:rFonts w:ascii="Centaur" w:hAnsi="Centaur" w:cs="Calibri"/>
          <w:sz w:val="24"/>
          <w:lang w:eastAsia="fr-FR"/>
        </w:rPr>
        <w:t xml:space="preserve">en 1864 </w:t>
      </w:r>
      <w:r w:rsidRPr="00F848AB">
        <w:rPr>
          <w:rFonts w:ascii="Centaur" w:hAnsi="Centaur" w:cs="Calibri"/>
          <w:b/>
          <w:bCs/>
          <w:sz w:val="24"/>
          <w:lang w:eastAsia="fr-FR"/>
        </w:rPr>
        <w:t xml:space="preserve">par </w:t>
      </w:r>
      <w:r w:rsidRPr="00F848AB">
        <w:rPr>
          <w:rFonts w:ascii="Centaur" w:hAnsi="Centaur" w:cs="Calibri"/>
          <w:sz w:val="24"/>
          <w:lang w:eastAsia="fr-FR"/>
        </w:rPr>
        <w:t xml:space="preserve">Augustin, Ignace, Gabriel, Comte Potier de Pommeroy, maire de St Broingt les Fosses, puis conseiller général de Haute Marne. </w:t>
      </w:r>
    </w:p>
    <w:p w:rsidR="00052112" w:rsidRPr="00F848AB" w:rsidRDefault="00052112" w:rsidP="009618F9">
      <w:pPr>
        <w:shd w:val="clear" w:color="auto" w:fill="FFFFFF"/>
        <w:jc w:val="both"/>
        <w:rPr>
          <w:rFonts w:ascii="Centaur" w:hAnsi="Centaur" w:cs="Calibri"/>
          <w:b/>
          <w:bCs/>
          <w:sz w:val="24"/>
          <w:lang w:eastAsia="fr-FR"/>
        </w:rPr>
      </w:pPr>
      <w:bookmarkStart w:id="2" w:name="_Toc335745886"/>
      <w:r w:rsidRPr="00F848AB">
        <w:rPr>
          <w:rFonts w:ascii="Centaur" w:hAnsi="Centaur" w:cs="Calibri"/>
          <w:b/>
          <w:bCs/>
          <w:sz w:val="24"/>
          <w:lang w:eastAsia="fr-FR"/>
        </w:rPr>
        <w:t>La laïcisation de la Fondation</w:t>
      </w:r>
      <w:bookmarkEnd w:id="2"/>
      <w:r w:rsidRPr="00F848AB">
        <w:rPr>
          <w:rFonts w:ascii="Centaur" w:hAnsi="Centaur" w:cs="Calibri"/>
          <w:b/>
          <w:bCs/>
          <w:sz w:val="24"/>
          <w:lang w:eastAsia="fr-FR"/>
        </w:rPr>
        <w:t xml:space="preserve"> eut lieu en mai 1981, avec </w:t>
      </w:r>
      <w:r w:rsidRPr="00F848AB">
        <w:rPr>
          <w:rFonts w:ascii="Centaur" w:hAnsi="Centaur" w:cs="Calibri"/>
          <w:sz w:val="24"/>
          <w:lang w:eastAsia="fr-FR"/>
        </w:rPr>
        <w:t>le retrait des sœurs par la congrégation.</w:t>
      </w:r>
    </w:p>
    <w:p w:rsidR="00052112" w:rsidRPr="00F848AB" w:rsidRDefault="00052112" w:rsidP="009618F9">
      <w:pPr>
        <w:shd w:val="clear" w:color="auto" w:fill="FFFFFF"/>
        <w:jc w:val="both"/>
        <w:rPr>
          <w:rFonts w:ascii="Centaur" w:hAnsi="Centaur" w:cs="Calibri"/>
          <w:sz w:val="24"/>
          <w:lang w:eastAsia="fr-FR"/>
        </w:rPr>
      </w:pPr>
      <w:r w:rsidRPr="00F848AB">
        <w:rPr>
          <w:rFonts w:ascii="Centaur" w:hAnsi="Centaur" w:cs="Calibri"/>
          <w:b/>
          <w:sz w:val="24"/>
          <w:lang w:eastAsia="fr-FR"/>
        </w:rPr>
        <w:t>La Maison de retraite St Augustin devient EHPAD St Augustin</w:t>
      </w:r>
      <w:r w:rsidRPr="00F848AB">
        <w:rPr>
          <w:rFonts w:ascii="Centaur" w:hAnsi="Centaur" w:cs="Calibri"/>
          <w:sz w:val="24"/>
          <w:lang w:eastAsia="fr-FR"/>
        </w:rPr>
        <w:t>, par la signature en 2005 de la première convention tripartite. Elle marque le début de la médicalisation. La convention tripartite de deuxième génération est signée en aout 2010.</w:t>
      </w:r>
    </w:p>
    <w:p w:rsidR="00052112" w:rsidRPr="009618F9" w:rsidRDefault="00052112" w:rsidP="009618F9">
      <w:pPr>
        <w:keepNext/>
        <w:keepLines/>
        <w:shd w:val="clear" w:color="auto" w:fill="FFFFFF"/>
        <w:spacing w:before="480" w:after="240"/>
        <w:jc w:val="both"/>
        <w:outlineLvl w:val="0"/>
        <w:rPr>
          <w:rFonts w:ascii="Centaur" w:hAnsi="Centaur"/>
          <w:b/>
          <w:bCs/>
          <w:sz w:val="28"/>
          <w:szCs w:val="28"/>
          <w:lang w:eastAsia="fr-FR"/>
        </w:rPr>
      </w:pPr>
      <w:r w:rsidRPr="009618F9">
        <w:rPr>
          <w:rFonts w:ascii="Centaur" w:hAnsi="Centaur"/>
          <w:b/>
          <w:bCs/>
          <w:sz w:val="28"/>
          <w:szCs w:val="28"/>
          <w:lang w:eastAsia="fr-FR"/>
        </w:rPr>
        <w:t xml:space="preserve">Un </w:t>
      </w:r>
      <w:r w:rsidRPr="00F848AB">
        <w:rPr>
          <w:rFonts w:ascii="Centaur" w:hAnsi="Centaur"/>
          <w:b/>
          <w:bCs/>
          <w:sz w:val="28"/>
          <w:szCs w:val="28"/>
          <w:lang w:eastAsia="fr-FR"/>
        </w:rPr>
        <w:t xml:space="preserve">projet architectural </w:t>
      </w:r>
      <w:r w:rsidRPr="009618F9">
        <w:rPr>
          <w:rFonts w:ascii="Centaur" w:hAnsi="Centaur"/>
          <w:b/>
          <w:bCs/>
          <w:sz w:val="28"/>
          <w:szCs w:val="28"/>
          <w:lang w:eastAsia="fr-FR"/>
        </w:rPr>
        <w:t xml:space="preserve">est </w:t>
      </w:r>
      <w:r w:rsidRPr="00F848AB">
        <w:rPr>
          <w:rFonts w:ascii="Centaur" w:hAnsi="Centaur"/>
          <w:b/>
          <w:bCs/>
          <w:sz w:val="28"/>
          <w:szCs w:val="28"/>
          <w:lang w:eastAsia="fr-FR"/>
        </w:rPr>
        <w:t xml:space="preserve">en cours </w:t>
      </w:r>
      <w:r w:rsidRPr="009618F9">
        <w:rPr>
          <w:rFonts w:ascii="Centaur" w:hAnsi="Centaur"/>
          <w:b/>
          <w:bCs/>
          <w:sz w:val="28"/>
          <w:szCs w:val="28"/>
          <w:lang w:eastAsia="fr-FR"/>
        </w:rPr>
        <w:t>pour assurer :</w:t>
      </w:r>
    </w:p>
    <w:p w:rsidR="00052112" w:rsidRPr="009618F9" w:rsidRDefault="00052112" w:rsidP="009618F9">
      <w:pPr>
        <w:pStyle w:val="ListParagraph"/>
        <w:numPr>
          <w:ilvl w:val="0"/>
          <w:numId w:val="3"/>
        </w:numPr>
        <w:shd w:val="clear" w:color="auto" w:fill="FFFFFF"/>
        <w:rPr>
          <w:lang w:eastAsia="fr-FR"/>
        </w:rPr>
      </w:pPr>
      <w:r w:rsidRPr="009618F9">
        <w:rPr>
          <w:lang w:eastAsia="fr-FR"/>
        </w:rPr>
        <w:t xml:space="preserve">La mise aux normes de nos fonctions logistiques : restauration, lingerie, </w:t>
      </w:r>
    </w:p>
    <w:p w:rsidR="00052112" w:rsidRPr="009618F9" w:rsidRDefault="00052112" w:rsidP="009618F9">
      <w:pPr>
        <w:pStyle w:val="ListParagraph"/>
        <w:numPr>
          <w:ilvl w:val="0"/>
          <w:numId w:val="3"/>
        </w:numPr>
        <w:shd w:val="clear" w:color="auto" w:fill="FFFFFF"/>
        <w:rPr>
          <w:lang w:eastAsia="fr-FR"/>
        </w:rPr>
      </w:pPr>
      <w:r w:rsidRPr="009618F9">
        <w:rPr>
          <w:lang w:eastAsia="fr-FR"/>
        </w:rPr>
        <w:t>Une augmentation de capacité de 26 places en hébergement permanent</w:t>
      </w:r>
    </w:p>
    <w:p w:rsidR="00052112" w:rsidRPr="009618F9" w:rsidRDefault="00052112" w:rsidP="009618F9">
      <w:pPr>
        <w:pStyle w:val="ListParagraph"/>
        <w:numPr>
          <w:ilvl w:val="0"/>
          <w:numId w:val="3"/>
        </w:numPr>
        <w:shd w:val="clear" w:color="auto" w:fill="FFFFFF"/>
        <w:rPr>
          <w:lang w:eastAsia="fr-FR"/>
        </w:rPr>
      </w:pPr>
      <w:r w:rsidRPr="009618F9">
        <w:rPr>
          <w:lang w:eastAsia="fr-FR"/>
        </w:rPr>
        <w:t xml:space="preserve">Une diversification des modes d’accueil : </w:t>
      </w:r>
    </w:p>
    <w:p w:rsidR="00052112" w:rsidRPr="009618F9" w:rsidRDefault="00052112" w:rsidP="009618F9">
      <w:pPr>
        <w:pStyle w:val="ListParagraph"/>
        <w:numPr>
          <w:ilvl w:val="3"/>
          <w:numId w:val="3"/>
        </w:numPr>
        <w:shd w:val="clear" w:color="auto" w:fill="FFFFFF"/>
        <w:rPr>
          <w:lang w:eastAsia="fr-FR"/>
        </w:rPr>
      </w:pPr>
      <w:r w:rsidRPr="009618F9">
        <w:rPr>
          <w:lang w:eastAsia="fr-FR"/>
        </w:rPr>
        <w:t>Hébergement Temporaire : 3 places</w:t>
      </w:r>
    </w:p>
    <w:p w:rsidR="00052112" w:rsidRPr="009618F9" w:rsidRDefault="00052112" w:rsidP="009618F9">
      <w:pPr>
        <w:pStyle w:val="ListParagraph"/>
        <w:numPr>
          <w:ilvl w:val="3"/>
          <w:numId w:val="3"/>
        </w:numPr>
        <w:shd w:val="clear" w:color="auto" w:fill="FFFFFF"/>
        <w:rPr>
          <w:lang w:eastAsia="fr-FR"/>
        </w:rPr>
      </w:pPr>
      <w:r w:rsidRPr="009618F9">
        <w:rPr>
          <w:lang w:eastAsia="fr-FR"/>
        </w:rPr>
        <w:t>Accueil de Jour : 6 places</w:t>
      </w:r>
    </w:p>
    <w:p w:rsidR="00052112" w:rsidRPr="009618F9" w:rsidRDefault="00052112" w:rsidP="009618F9">
      <w:pPr>
        <w:pStyle w:val="ListParagraph"/>
        <w:numPr>
          <w:ilvl w:val="0"/>
          <w:numId w:val="3"/>
        </w:numPr>
        <w:shd w:val="clear" w:color="auto" w:fill="FFFFFF"/>
        <w:rPr>
          <w:lang w:eastAsia="fr-FR"/>
        </w:rPr>
      </w:pPr>
      <w:r w:rsidRPr="009618F9">
        <w:rPr>
          <w:lang w:eastAsia="fr-FR"/>
        </w:rPr>
        <w:t>Une adaptation à la prise en charge des personnes atteintes de pathologies de type Alzheimer ou apparentées par la création d’une unité de vie protégée de 12 places et d’un PASA de14 places.</w:t>
      </w:r>
    </w:p>
    <w:p w:rsidR="00052112" w:rsidRPr="009618F9" w:rsidRDefault="00052112" w:rsidP="009618F9">
      <w:pPr>
        <w:pStyle w:val="ListParagraph"/>
        <w:shd w:val="clear" w:color="auto" w:fill="FFFFFF"/>
        <w:ind w:left="1440"/>
        <w:rPr>
          <w:lang w:eastAsia="fr-FR"/>
        </w:rPr>
      </w:pPr>
    </w:p>
    <w:p w:rsidR="00052112" w:rsidRPr="00F848AB" w:rsidRDefault="00052112" w:rsidP="009618F9">
      <w:pPr>
        <w:shd w:val="clear" w:color="auto" w:fill="FFFFFF"/>
        <w:spacing w:before="100" w:beforeAutospacing="1" w:after="100" w:afterAutospacing="1" w:line="240" w:lineRule="auto"/>
        <w:jc w:val="both"/>
        <w:rPr>
          <w:rFonts w:ascii="Centaur" w:hAnsi="Centaur" w:cs="Arial"/>
          <w:lang w:eastAsia="fr-FR"/>
        </w:rPr>
      </w:pPr>
      <w:r w:rsidRPr="00F848AB">
        <w:rPr>
          <w:rFonts w:ascii="Centaur" w:hAnsi="Centaur" w:cs="Arial"/>
          <w:szCs w:val="20"/>
          <w:lang w:eastAsia="fr-FR"/>
        </w:rPr>
        <w:t xml:space="preserve">Le projet architectural dont le démarrage de la construction a eu lieu en 2011, se déroule sous la forme d’une opération à tiroir : </w:t>
      </w:r>
    </w:p>
    <w:p w:rsidR="00052112" w:rsidRPr="00F848AB" w:rsidRDefault="00052112" w:rsidP="009618F9">
      <w:pPr>
        <w:shd w:val="clear" w:color="auto" w:fill="FFFFFF"/>
        <w:spacing w:before="100" w:beforeAutospacing="1" w:after="100" w:afterAutospacing="1" w:line="240" w:lineRule="auto"/>
        <w:contextualSpacing/>
        <w:jc w:val="both"/>
        <w:outlineLvl w:val="4"/>
        <w:rPr>
          <w:rFonts w:ascii="Centaur" w:hAnsi="Centaur" w:cs="Arial"/>
          <w:b/>
          <w:szCs w:val="20"/>
          <w:u w:val="single"/>
          <w:lang w:eastAsia="fr-FR"/>
        </w:rPr>
      </w:pPr>
      <w:r w:rsidRPr="00F848AB">
        <w:rPr>
          <w:rFonts w:ascii="Centaur" w:hAnsi="Centaur" w:cs="Arial"/>
          <w:b/>
          <w:szCs w:val="20"/>
          <w:u w:val="single"/>
          <w:lang w:eastAsia="fr-FR"/>
        </w:rPr>
        <w:t xml:space="preserve">Phase 1 : Construction d’une extension de 46 places </w:t>
      </w:r>
    </w:p>
    <w:p w:rsidR="00052112" w:rsidRPr="00F848AB" w:rsidRDefault="00052112" w:rsidP="009618F9">
      <w:pPr>
        <w:shd w:val="clear" w:color="auto" w:fill="FFFFFF"/>
        <w:spacing w:before="100" w:beforeAutospacing="1" w:after="100" w:afterAutospacing="1" w:line="240" w:lineRule="auto"/>
        <w:jc w:val="both"/>
        <w:rPr>
          <w:rFonts w:ascii="Centaur" w:hAnsi="Centaur" w:cs="Arial"/>
          <w:szCs w:val="20"/>
          <w:lang w:eastAsia="fr-FR"/>
        </w:rPr>
      </w:pPr>
      <w:r w:rsidRPr="00F848AB">
        <w:rPr>
          <w:rFonts w:ascii="Centaur" w:hAnsi="Centaur" w:cs="Arial"/>
          <w:szCs w:val="20"/>
          <w:lang w:eastAsia="fr-FR"/>
        </w:rPr>
        <w:t>Les 42 résidents actuels seront transférés dans les 46 chambres individuelles avec création de toutes les fonctions logistiques : administration, cuisine, lingerie, locaux du personnel… La livraison prévue initialement en décembre 2012 aura lieu en Juin  2013 en raison des intempéries de l’hiver dernier.</w:t>
      </w:r>
    </w:p>
    <w:p w:rsidR="00052112" w:rsidRPr="00F848AB" w:rsidRDefault="00052112" w:rsidP="009618F9">
      <w:pPr>
        <w:shd w:val="clear" w:color="auto" w:fill="FFFFFF"/>
        <w:spacing w:before="100" w:beforeAutospacing="1" w:after="100" w:afterAutospacing="1" w:line="240" w:lineRule="auto"/>
        <w:contextualSpacing/>
        <w:jc w:val="both"/>
        <w:outlineLvl w:val="4"/>
        <w:rPr>
          <w:rFonts w:ascii="Centaur" w:hAnsi="Centaur" w:cs="Arial"/>
          <w:b/>
          <w:szCs w:val="20"/>
          <w:u w:val="single"/>
          <w:lang w:eastAsia="fr-FR"/>
        </w:rPr>
      </w:pPr>
      <w:r w:rsidRPr="00F848AB">
        <w:rPr>
          <w:rFonts w:ascii="Centaur" w:hAnsi="Centaur" w:cs="Arial"/>
          <w:b/>
          <w:szCs w:val="20"/>
          <w:u w:val="single"/>
          <w:lang w:eastAsia="fr-FR"/>
        </w:rPr>
        <w:t>Phase 2 : Rénovation des anciens locaux et construction du PASA</w:t>
      </w:r>
    </w:p>
    <w:p w:rsidR="00052112" w:rsidRPr="00F848AB" w:rsidRDefault="00052112" w:rsidP="009618F9">
      <w:pPr>
        <w:shd w:val="clear" w:color="auto" w:fill="FFFFFF"/>
        <w:spacing w:before="100" w:beforeAutospacing="1" w:after="100" w:afterAutospacing="1" w:line="240" w:lineRule="auto"/>
        <w:jc w:val="both"/>
        <w:rPr>
          <w:rFonts w:ascii="Centaur" w:hAnsi="Centaur" w:cs="Arial"/>
          <w:szCs w:val="20"/>
          <w:lang w:eastAsia="fr-FR"/>
        </w:rPr>
      </w:pPr>
      <w:r w:rsidRPr="00F848AB">
        <w:rPr>
          <w:rFonts w:ascii="Centaur" w:hAnsi="Centaur" w:cs="Arial"/>
          <w:szCs w:val="20"/>
          <w:lang w:eastAsia="fr-FR"/>
        </w:rPr>
        <w:t xml:space="preserve">Les 28 chambres existantes seront rénovées en 26 chambres individuelles dont 12 incluses dans une unité de vie protégée Alzheimer. Le PASA (Pôle d’Activités et de Soins Adaptées Alzheimer) de 14 places sera construit en parallèle. Les travaux seront achevés en Janvier 2014. </w:t>
      </w:r>
    </w:p>
    <w:p w:rsidR="00052112" w:rsidRPr="00F848AB" w:rsidRDefault="00052112" w:rsidP="009618F9">
      <w:pPr>
        <w:shd w:val="clear" w:color="auto" w:fill="FFFFFF"/>
        <w:spacing w:after="0" w:line="240" w:lineRule="auto"/>
        <w:jc w:val="both"/>
        <w:rPr>
          <w:rFonts w:ascii="Centaur" w:hAnsi="Centaur" w:cs="Arial"/>
          <w:szCs w:val="20"/>
          <w:lang w:eastAsia="fr-FR"/>
        </w:rPr>
      </w:pPr>
      <w:r w:rsidRPr="00F848AB">
        <w:rPr>
          <w:rFonts w:ascii="Centaur" w:hAnsi="Centaur" w:cs="Arial"/>
          <w:szCs w:val="20"/>
          <w:lang w:eastAsia="fr-FR"/>
        </w:rPr>
        <w:t>A la livraison de la deuxième phase du projet, fin Décembre 2013, la structure offrira une diversité de modes d’accueil avec les capacités suivantes :</w:t>
      </w:r>
    </w:p>
    <w:p w:rsidR="00052112" w:rsidRPr="00F848AB" w:rsidRDefault="00052112" w:rsidP="009618F9">
      <w:pPr>
        <w:numPr>
          <w:ilvl w:val="2"/>
          <w:numId w:val="1"/>
        </w:numPr>
        <w:shd w:val="clear" w:color="auto" w:fill="FFFFFF"/>
        <w:spacing w:before="100" w:beforeAutospacing="1" w:after="100" w:afterAutospacing="1" w:line="240" w:lineRule="auto"/>
        <w:jc w:val="both"/>
        <w:rPr>
          <w:rFonts w:ascii="Centaur" w:hAnsi="Centaur" w:cs="Arial"/>
          <w:szCs w:val="20"/>
          <w:lang w:eastAsia="fr-FR"/>
        </w:rPr>
      </w:pPr>
      <w:r w:rsidRPr="00F848AB">
        <w:rPr>
          <w:rFonts w:ascii="Centaur" w:hAnsi="Centaur" w:cs="Arial"/>
          <w:szCs w:val="20"/>
          <w:lang w:eastAsia="fr-FR"/>
        </w:rPr>
        <w:t>un hébergement permanent de 58 places, dont :</w:t>
      </w:r>
    </w:p>
    <w:p w:rsidR="00052112" w:rsidRPr="00F848AB" w:rsidRDefault="00052112" w:rsidP="009618F9">
      <w:pPr>
        <w:numPr>
          <w:ilvl w:val="4"/>
          <w:numId w:val="1"/>
        </w:numPr>
        <w:shd w:val="clear" w:color="auto" w:fill="FFFFFF"/>
        <w:spacing w:before="100" w:beforeAutospacing="1" w:after="100" w:afterAutospacing="1" w:line="240" w:lineRule="auto"/>
        <w:jc w:val="both"/>
        <w:rPr>
          <w:rFonts w:ascii="Centaur" w:hAnsi="Centaur" w:cs="Arial"/>
          <w:szCs w:val="20"/>
          <w:lang w:eastAsia="fr-FR"/>
        </w:rPr>
      </w:pPr>
      <w:r w:rsidRPr="00F848AB">
        <w:rPr>
          <w:rFonts w:ascii="Centaur" w:hAnsi="Centaur" w:cs="Arial"/>
          <w:szCs w:val="20"/>
          <w:lang w:eastAsia="fr-FR"/>
        </w:rPr>
        <w:t>une unité de vie Alzheimer de 12 places</w:t>
      </w:r>
    </w:p>
    <w:p w:rsidR="00052112" w:rsidRPr="00F848AB" w:rsidRDefault="00052112" w:rsidP="009618F9">
      <w:pPr>
        <w:numPr>
          <w:ilvl w:val="4"/>
          <w:numId w:val="1"/>
        </w:numPr>
        <w:shd w:val="clear" w:color="auto" w:fill="FFFFFF"/>
        <w:spacing w:before="100" w:beforeAutospacing="1" w:after="100" w:afterAutospacing="1" w:line="240" w:lineRule="auto"/>
        <w:jc w:val="both"/>
        <w:rPr>
          <w:rFonts w:ascii="Centaur" w:hAnsi="Centaur" w:cs="Arial"/>
          <w:szCs w:val="20"/>
          <w:lang w:eastAsia="fr-FR"/>
        </w:rPr>
      </w:pPr>
      <w:r w:rsidRPr="00F848AB">
        <w:rPr>
          <w:rFonts w:ascii="Centaur" w:hAnsi="Centaur" w:cs="Arial"/>
          <w:szCs w:val="20"/>
          <w:lang w:eastAsia="fr-FR"/>
        </w:rPr>
        <w:t>un PASA</w:t>
      </w:r>
      <w:r w:rsidRPr="00F848AB">
        <w:rPr>
          <w:rFonts w:ascii="Centaur" w:hAnsi="Centaur" w:cs="Arial"/>
          <w:szCs w:val="20"/>
          <w:vertAlign w:val="superscript"/>
          <w:lang w:eastAsia="fr-FR"/>
        </w:rPr>
        <w:footnoteReference w:id="1"/>
      </w:r>
      <w:r w:rsidRPr="00F848AB">
        <w:rPr>
          <w:rFonts w:ascii="Centaur" w:hAnsi="Centaur" w:cs="Arial"/>
          <w:szCs w:val="20"/>
          <w:lang w:eastAsia="fr-FR"/>
        </w:rPr>
        <w:t xml:space="preserve"> de 14 places</w:t>
      </w:r>
    </w:p>
    <w:p w:rsidR="00052112" w:rsidRPr="00F848AB" w:rsidRDefault="00052112" w:rsidP="009618F9">
      <w:pPr>
        <w:numPr>
          <w:ilvl w:val="0"/>
          <w:numId w:val="1"/>
        </w:numPr>
        <w:shd w:val="clear" w:color="auto" w:fill="FFFFFF"/>
        <w:spacing w:before="100" w:beforeAutospacing="1" w:after="100" w:afterAutospacing="1" w:line="240" w:lineRule="auto"/>
        <w:jc w:val="both"/>
        <w:rPr>
          <w:rFonts w:ascii="Centaur" w:hAnsi="Centaur" w:cs="Arial"/>
          <w:szCs w:val="20"/>
          <w:lang w:eastAsia="fr-FR"/>
        </w:rPr>
      </w:pPr>
      <w:r w:rsidRPr="00F848AB">
        <w:rPr>
          <w:rFonts w:ascii="Centaur" w:hAnsi="Centaur" w:cs="Arial"/>
          <w:szCs w:val="20"/>
          <w:lang w:eastAsia="fr-FR"/>
        </w:rPr>
        <w:t>un hébergement temporaire de 3 places</w:t>
      </w:r>
    </w:p>
    <w:p w:rsidR="00052112" w:rsidRPr="00F848AB" w:rsidRDefault="00052112" w:rsidP="009618F9">
      <w:pPr>
        <w:numPr>
          <w:ilvl w:val="0"/>
          <w:numId w:val="1"/>
        </w:numPr>
        <w:shd w:val="clear" w:color="auto" w:fill="FFFFFF"/>
        <w:spacing w:before="100" w:beforeAutospacing="1" w:after="100" w:afterAutospacing="1" w:line="240" w:lineRule="auto"/>
        <w:jc w:val="both"/>
        <w:rPr>
          <w:rFonts w:ascii="Centaur" w:hAnsi="Centaur" w:cs="Arial"/>
          <w:szCs w:val="20"/>
          <w:lang w:eastAsia="fr-FR"/>
        </w:rPr>
      </w:pPr>
      <w:r w:rsidRPr="00F848AB">
        <w:rPr>
          <w:rFonts w:ascii="Centaur" w:hAnsi="Centaur" w:cs="Arial"/>
          <w:szCs w:val="20"/>
          <w:lang w:eastAsia="fr-FR"/>
        </w:rPr>
        <w:t>un accueil de jour de 6 places</w:t>
      </w:r>
    </w:p>
    <w:p w:rsidR="00052112" w:rsidRPr="009618F9" w:rsidRDefault="00052112" w:rsidP="009618F9">
      <w:pPr>
        <w:shd w:val="clear" w:color="auto" w:fill="FFFFFF"/>
      </w:pPr>
    </w:p>
    <w:p w:rsidR="00052112" w:rsidRPr="009618F9" w:rsidRDefault="00052112" w:rsidP="009618F9">
      <w:pPr>
        <w:shd w:val="clear" w:color="auto" w:fill="FFFFFF"/>
      </w:pPr>
      <w:r w:rsidRPr="009618F9">
        <w:t>La population Accueillie est originaire d’une zone d’un rayon de 20 km. Tous les résidents sont originaires de Haute Marne. Seules quatre personnes bénéficient de l’aide sociale.</w:t>
      </w:r>
    </w:p>
    <w:p w:rsidR="00052112" w:rsidRPr="009618F9" w:rsidRDefault="00052112" w:rsidP="009618F9">
      <w:pPr>
        <w:shd w:val="clear" w:color="auto" w:fill="FFFFFF"/>
      </w:pPr>
      <w:r w:rsidRPr="009618F9">
        <w:t>La dépendance de nos résidents augmente : GMP ATTEINT 710 EN 2012</w:t>
      </w:r>
    </w:p>
    <w:p w:rsidR="00052112" w:rsidRPr="009618F9" w:rsidRDefault="00052112" w:rsidP="009618F9">
      <w:pPr>
        <w:shd w:val="clear" w:color="auto" w:fill="FFFFFF"/>
      </w:pPr>
      <w:r w:rsidRPr="009618F9">
        <w:t>Les besoins en soins également : PMP de 262 en 03/2012</w:t>
      </w:r>
    </w:p>
    <w:p w:rsidR="00052112" w:rsidRPr="009618F9" w:rsidRDefault="00052112" w:rsidP="009618F9">
      <w:pPr>
        <w:shd w:val="clear" w:color="auto" w:fill="FFFFFF"/>
      </w:pPr>
      <w:r w:rsidRPr="009618F9">
        <w:t>Si l’on observe quelques données de notre activité en 2012 :</w:t>
      </w:r>
    </w:p>
    <w:tbl>
      <w:tblPr>
        <w:tblW w:w="0" w:type="auto"/>
        <w:tblLayout w:type="fixed"/>
        <w:tblLook w:val="0000"/>
      </w:tblPr>
      <w:tblGrid>
        <w:gridCol w:w="1188"/>
        <w:gridCol w:w="1440"/>
        <w:gridCol w:w="1800"/>
        <w:gridCol w:w="1800"/>
        <w:gridCol w:w="1620"/>
        <w:gridCol w:w="1710"/>
      </w:tblGrid>
      <w:tr w:rsidR="00052112" w:rsidRPr="004D6ACD" w:rsidTr="00BB7C2B">
        <w:tc>
          <w:tcPr>
            <w:tcW w:w="1188" w:type="dxa"/>
            <w:tcBorders>
              <w:top w:val="single" w:sz="4" w:space="0" w:color="000000"/>
              <w:left w:val="single" w:sz="4" w:space="0" w:color="000000"/>
              <w:bottom w:val="single" w:sz="4" w:space="0" w:color="000000"/>
            </w:tcBorders>
            <w:shd w:val="clear" w:color="auto" w:fill="F3F3F3"/>
          </w:tcPr>
          <w:p w:rsidR="00052112" w:rsidRPr="000C0E97" w:rsidRDefault="00052112" w:rsidP="009618F9">
            <w:pPr>
              <w:shd w:val="clear" w:color="auto" w:fill="FFFFFF"/>
              <w:suppressAutoHyphens/>
              <w:spacing w:after="0" w:line="240" w:lineRule="auto"/>
              <w:jc w:val="both"/>
              <w:rPr>
                <w:rFonts w:ascii="Times New Roman" w:hAnsi="Times New Roman"/>
                <w:b/>
                <w:sz w:val="24"/>
                <w:szCs w:val="24"/>
                <w:lang w:eastAsia="ar-SA"/>
              </w:rPr>
            </w:pPr>
            <w:r w:rsidRPr="000C0E97">
              <w:rPr>
                <w:rFonts w:ascii="Times New Roman" w:hAnsi="Times New Roman"/>
                <w:b/>
                <w:sz w:val="24"/>
                <w:szCs w:val="24"/>
                <w:lang w:eastAsia="ar-SA"/>
              </w:rPr>
              <w:t>Au 31/12</w:t>
            </w:r>
          </w:p>
        </w:tc>
        <w:tc>
          <w:tcPr>
            <w:tcW w:w="1440" w:type="dxa"/>
            <w:tcBorders>
              <w:top w:val="single" w:sz="4" w:space="0" w:color="000000"/>
              <w:left w:val="single" w:sz="4" w:space="0" w:color="000000"/>
              <w:bottom w:val="single" w:sz="4" w:space="0" w:color="000000"/>
            </w:tcBorders>
            <w:shd w:val="clear" w:color="auto" w:fill="F3F3F3"/>
          </w:tcPr>
          <w:p w:rsidR="00052112" w:rsidRPr="000C0E97" w:rsidRDefault="00052112" w:rsidP="009618F9">
            <w:pPr>
              <w:shd w:val="clear" w:color="auto" w:fill="FFFFFF"/>
              <w:suppressAutoHyphens/>
              <w:snapToGrid w:val="0"/>
              <w:spacing w:after="0" w:line="240" w:lineRule="auto"/>
              <w:jc w:val="both"/>
              <w:rPr>
                <w:rFonts w:ascii="Times New Roman" w:hAnsi="Times New Roman"/>
                <w:b/>
                <w:sz w:val="24"/>
                <w:szCs w:val="24"/>
                <w:lang w:eastAsia="ar-SA"/>
              </w:rPr>
            </w:pPr>
            <w:r w:rsidRPr="000C0E97">
              <w:rPr>
                <w:rFonts w:ascii="Times New Roman" w:hAnsi="Times New Roman"/>
                <w:b/>
                <w:sz w:val="24"/>
                <w:szCs w:val="24"/>
                <w:lang w:eastAsia="ar-SA"/>
              </w:rPr>
              <w:t>- de 70 ans</w:t>
            </w:r>
          </w:p>
        </w:tc>
        <w:tc>
          <w:tcPr>
            <w:tcW w:w="1800" w:type="dxa"/>
            <w:tcBorders>
              <w:top w:val="single" w:sz="4" w:space="0" w:color="000000"/>
              <w:left w:val="single" w:sz="4" w:space="0" w:color="000000"/>
              <w:bottom w:val="single" w:sz="4" w:space="0" w:color="000000"/>
            </w:tcBorders>
            <w:shd w:val="clear" w:color="auto" w:fill="F3F3F3"/>
          </w:tcPr>
          <w:p w:rsidR="00052112" w:rsidRPr="000C0E97" w:rsidRDefault="00052112" w:rsidP="009618F9">
            <w:pPr>
              <w:shd w:val="clear" w:color="auto" w:fill="FFFFFF"/>
              <w:suppressAutoHyphens/>
              <w:snapToGrid w:val="0"/>
              <w:spacing w:after="0" w:line="240" w:lineRule="auto"/>
              <w:jc w:val="both"/>
              <w:rPr>
                <w:rFonts w:ascii="Times New Roman" w:hAnsi="Times New Roman"/>
                <w:b/>
                <w:sz w:val="24"/>
                <w:szCs w:val="24"/>
                <w:lang w:eastAsia="ar-SA"/>
              </w:rPr>
            </w:pPr>
            <w:r w:rsidRPr="000C0E97">
              <w:rPr>
                <w:rFonts w:ascii="Times New Roman" w:hAnsi="Times New Roman"/>
                <w:b/>
                <w:sz w:val="24"/>
                <w:szCs w:val="24"/>
                <w:lang w:eastAsia="ar-SA"/>
              </w:rPr>
              <w:t>De 70 à 79 ans</w:t>
            </w:r>
          </w:p>
        </w:tc>
        <w:tc>
          <w:tcPr>
            <w:tcW w:w="1800" w:type="dxa"/>
            <w:tcBorders>
              <w:top w:val="single" w:sz="4" w:space="0" w:color="000000"/>
              <w:left w:val="single" w:sz="4" w:space="0" w:color="000000"/>
              <w:bottom w:val="single" w:sz="4" w:space="0" w:color="000000"/>
            </w:tcBorders>
            <w:shd w:val="clear" w:color="auto" w:fill="F3F3F3"/>
          </w:tcPr>
          <w:p w:rsidR="00052112" w:rsidRPr="000C0E97" w:rsidRDefault="00052112" w:rsidP="009618F9">
            <w:pPr>
              <w:shd w:val="clear" w:color="auto" w:fill="FFFFFF"/>
              <w:suppressAutoHyphens/>
              <w:snapToGrid w:val="0"/>
              <w:spacing w:after="0" w:line="240" w:lineRule="auto"/>
              <w:jc w:val="both"/>
              <w:rPr>
                <w:rFonts w:ascii="Times New Roman" w:hAnsi="Times New Roman"/>
                <w:b/>
                <w:sz w:val="24"/>
                <w:szCs w:val="24"/>
                <w:lang w:eastAsia="ar-SA"/>
              </w:rPr>
            </w:pPr>
            <w:r w:rsidRPr="000C0E97">
              <w:rPr>
                <w:rFonts w:ascii="Times New Roman" w:hAnsi="Times New Roman"/>
                <w:b/>
                <w:sz w:val="24"/>
                <w:szCs w:val="24"/>
                <w:lang w:eastAsia="ar-SA"/>
              </w:rPr>
              <w:t>De 80 à 89 ans</w:t>
            </w:r>
          </w:p>
        </w:tc>
        <w:tc>
          <w:tcPr>
            <w:tcW w:w="1620" w:type="dxa"/>
            <w:tcBorders>
              <w:top w:val="single" w:sz="4" w:space="0" w:color="000000"/>
              <w:left w:val="single" w:sz="4" w:space="0" w:color="000000"/>
              <w:bottom w:val="single" w:sz="4" w:space="0" w:color="000000"/>
            </w:tcBorders>
            <w:shd w:val="clear" w:color="auto" w:fill="F3F3F3"/>
          </w:tcPr>
          <w:p w:rsidR="00052112" w:rsidRPr="000C0E97" w:rsidRDefault="00052112" w:rsidP="009618F9">
            <w:pPr>
              <w:shd w:val="clear" w:color="auto" w:fill="FFFFFF"/>
              <w:suppressAutoHyphens/>
              <w:snapToGrid w:val="0"/>
              <w:spacing w:after="0" w:line="240" w:lineRule="auto"/>
              <w:jc w:val="both"/>
              <w:rPr>
                <w:rFonts w:ascii="Times New Roman" w:hAnsi="Times New Roman"/>
                <w:b/>
                <w:sz w:val="24"/>
                <w:szCs w:val="24"/>
                <w:lang w:eastAsia="ar-SA"/>
              </w:rPr>
            </w:pPr>
            <w:r w:rsidRPr="000C0E97">
              <w:rPr>
                <w:rFonts w:ascii="Times New Roman" w:hAnsi="Times New Roman"/>
                <w:b/>
                <w:sz w:val="24"/>
                <w:szCs w:val="24"/>
                <w:lang w:eastAsia="ar-SA"/>
              </w:rPr>
              <w:t>De 90</w:t>
            </w:r>
          </w:p>
          <w:p w:rsidR="00052112" w:rsidRPr="000C0E97" w:rsidRDefault="00052112" w:rsidP="009618F9">
            <w:pPr>
              <w:shd w:val="clear" w:color="auto" w:fill="FFFFFF"/>
              <w:suppressAutoHyphens/>
              <w:spacing w:after="0" w:line="240" w:lineRule="auto"/>
              <w:jc w:val="both"/>
              <w:rPr>
                <w:rFonts w:ascii="Times New Roman" w:hAnsi="Times New Roman"/>
                <w:b/>
                <w:sz w:val="24"/>
                <w:szCs w:val="24"/>
                <w:lang w:eastAsia="ar-SA"/>
              </w:rPr>
            </w:pPr>
            <w:r w:rsidRPr="000C0E97">
              <w:rPr>
                <w:rFonts w:ascii="Times New Roman" w:hAnsi="Times New Roman"/>
                <w:b/>
                <w:sz w:val="24"/>
                <w:szCs w:val="24"/>
                <w:lang w:eastAsia="ar-SA"/>
              </w:rPr>
              <w:t xml:space="preserve"> à 99 ans</w:t>
            </w:r>
          </w:p>
        </w:tc>
        <w:tc>
          <w:tcPr>
            <w:tcW w:w="1710" w:type="dxa"/>
            <w:tcBorders>
              <w:top w:val="single" w:sz="4" w:space="0" w:color="000000"/>
              <w:left w:val="single" w:sz="4" w:space="0" w:color="000000"/>
              <w:bottom w:val="single" w:sz="4" w:space="0" w:color="000000"/>
              <w:right w:val="single" w:sz="4" w:space="0" w:color="000000"/>
            </w:tcBorders>
            <w:shd w:val="clear" w:color="auto" w:fill="F3F3F3"/>
          </w:tcPr>
          <w:p w:rsidR="00052112" w:rsidRPr="000C0E97" w:rsidRDefault="00052112" w:rsidP="009618F9">
            <w:pPr>
              <w:shd w:val="clear" w:color="auto" w:fill="FFFFFF"/>
              <w:suppressAutoHyphens/>
              <w:snapToGrid w:val="0"/>
              <w:spacing w:after="0" w:line="240" w:lineRule="auto"/>
              <w:ind w:left="-291" w:firstLine="291"/>
              <w:jc w:val="both"/>
              <w:rPr>
                <w:rFonts w:ascii="Times New Roman" w:hAnsi="Times New Roman"/>
                <w:b/>
                <w:sz w:val="24"/>
                <w:szCs w:val="24"/>
                <w:lang w:eastAsia="ar-SA"/>
              </w:rPr>
            </w:pPr>
            <w:r w:rsidRPr="000C0E97">
              <w:rPr>
                <w:rFonts w:ascii="Times New Roman" w:hAnsi="Times New Roman"/>
                <w:b/>
                <w:sz w:val="24"/>
                <w:szCs w:val="24"/>
                <w:lang w:eastAsia="ar-SA"/>
              </w:rPr>
              <w:t>De 100 ans</w:t>
            </w:r>
          </w:p>
          <w:p w:rsidR="00052112" w:rsidRPr="000C0E97" w:rsidRDefault="00052112" w:rsidP="009618F9">
            <w:pPr>
              <w:shd w:val="clear" w:color="auto" w:fill="FFFFFF"/>
              <w:suppressAutoHyphens/>
              <w:snapToGrid w:val="0"/>
              <w:spacing w:after="0" w:line="240" w:lineRule="auto"/>
              <w:ind w:left="-291" w:firstLine="291"/>
              <w:jc w:val="both"/>
              <w:rPr>
                <w:rFonts w:ascii="Times New Roman" w:hAnsi="Times New Roman"/>
                <w:b/>
                <w:sz w:val="24"/>
                <w:szCs w:val="24"/>
                <w:lang w:eastAsia="ar-SA"/>
              </w:rPr>
            </w:pPr>
            <w:r w:rsidRPr="000C0E97">
              <w:rPr>
                <w:rFonts w:ascii="Times New Roman" w:hAnsi="Times New Roman"/>
                <w:b/>
                <w:sz w:val="24"/>
                <w:szCs w:val="24"/>
                <w:lang w:eastAsia="ar-SA"/>
              </w:rPr>
              <w:t xml:space="preserve"> et plus</w:t>
            </w:r>
          </w:p>
        </w:tc>
      </w:tr>
      <w:tr w:rsidR="00052112" w:rsidRPr="004D6ACD" w:rsidTr="00BB7C2B">
        <w:tc>
          <w:tcPr>
            <w:tcW w:w="1188" w:type="dxa"/>
            <w:tcBorders>
              <w:top w:val="single" w:sz="4" w:space="0" w:color="000000"/>
              <w:left w:val="single" w:sz="4" w:space="0" w:color="000000"/>
              <w:bottom w:val="single" w:sz="4" w:space="0" w:color="000000"/>
            </w:tcBorders>
          </w:tcPr>
          <w:p w:rsidR="00052112" w:rsidRPr="000C0E97" w:rsidRDefault="00052112" w:rsidP="009618F9">
            <w:pPr>
              <w:shd w:val="clear" w:color="auto" w:fill="FFFFFF"/>
              <w:suppressAutoHyphens/>
              <w:snapToGrid w:val="0"/>
              <w:spacing w:after="0" w:line="240" w:lineRule="auto"/>
              <w:jc w:val="center"/>
              <w:rPr>
                <w:rFonts w:ascii="Times New Roman" w:hAnsi="Times New Roman"/>
                <w:b/>
                <w:sz w:val="24"/>
                <w:szCs w:val="24"/>
                <w:lang w:eastAsia="ar-SA"/>
              </w:rPr>
            </w:pPr>
            <w:r w:rsidRPr="000C0E97">
              <w:rPr>
                <w:rFonts w:ascii="Times New Roman" w:hAnsi="Times New Roman"/>
                <w:b/>
                <w:sz w:val="24"/>
                <w:szCs w:val="24"/>
                <w:lang w:eastAsia="ar-SA"/>
              </w:rPr>
              <w:t>2012</w:t>
            </w:r>
          </w:p>
        </w:tc>
        <w:tc>
          <w:tcPr>
            <w:tcW w:w="1440" w:type="dxa"/>
            <w:tcBorders>
              <w:top w:val="single" w:sz="4" w:space="0" w:color="000000"/>
              <w:left w:val="single" w:sz="4" w:space="0" w:color="000000"/>
              <w:bottom w:val="single" w:sz="4" w:space="0" w:color="000000"/>
            </w:tcBorders>
          </w:tcPr>
          <w:p w:rsidR="00052112" w:rsidRPr="000C0E97" w:rsidRDefault="00052112" w:rsidP="009618F9">
            <w:pPr>
              <w:shd w:val="clear" w:color="auto" w:fill="FFFFFF"/>
              <w:suppressAutoHyphens/>
              <w:snapToGrid w:val="0"/>
              <w:spacing w:after="0" w:line="240" w:lineRule="auto"/>
              <w:jc w:val="center"/>
              <w:rPr>
                <w:rFonts w:ascii="Times New Roman" w:hAnsi="Times New Roman"/>
                <w:sz w:val="24"/>
                <w:szCs w:val="24"/>
                <w:lang w:eastAsia="ar-SA"/>
              </w:rPr>
            </w:pPr>
            <w:r w:rsidRPr="000C0E97">
              <w:rPr>
                <w:rFonts w:ascii="Times New Roman" w:hAnsi="Times New Roman"/>
                <w:sz w:val="24"/>
                <w:szCs w:val="24"/>
                <w:lang w:eastAsia="ar-SA"/>
              </w:rPr>
              <w:t>0</w:t>
            </w:r>
          </w:p>
        </w:tc>
        <w:tc>
          <w:tcPr>
            <w:tcW w:w="1800" w:type="dxa"/>
            <w:tcBorders>
              <w:top w:val="single" w:sz="4" w:space="0" w:color="000000"/>
              <w:left w:val="single" w:sz="4" w:space="0" w:color="000000"/>
              <w:bottom w:val="single" w:sz="4" w:space="0" w:color="000000"/>
            </w:tcBorders>
          </w:tcPr>
          <w:p w:rsidR="00052112" w:rsidRPr="000C0E97" w:rsidRDefault="00052112" w:rsidP="009618F9">
            <w:pPr>
              <w:shd w:val="clear" w:color="auto" w:fill="FFFFFF"/>
              <w:suppressAutoHyphens/>
              <w:snapToGrid w:val="0"/>
              <w:spacing w:after="0" w:line="240" w:lineRule="auto"/>
              <w:jc w:val="center"/>
              <w:rPr>
                <w:rFonts w:ascii="Times New Roman" w:hAnsi="Times New Roman"/>
                <w:sz w:val="24"/>
                <w:szCs w:val="24"/>
                <w:lang w:eastAsia="ar-SA"/>
              </w:rPr>
            </w:pPr>
            <w:r w:rsidRPr="000C0E97">
              <w:rPr>
                <w:rFonts w:ascii="Times New Roman" w:hAnsi="Times New Roman"/>
                <w:sz w:val="24"/>
                <w:szCs w:val="24"/>
                <w:lang w:eastAsia="ar-SA"/>
              </w:rPr>
              <w:t>2</w:t>
            </w:r>
          </w:p>
        </w:tc>
        <w:tc>
          <w:tcPr>
            <w:tcW w:w="1800" w:type="dxa"/>
            <w:tcBorders>
              <w:top w:val="single" w:sz="4" w:space="0" w:color="000000"/>
              <w:left w:val="single" w:sz="4" w:space="0" w:color="000000"/>
              <w:bottom w:val="single" w:sz="4" w:space="0" w:color="000000"/>
            </w:tcBorders>
          </w:tcPr>
          <w:p w:rsidR="00052112" w:rsidRPr="000C0E97" w:rsidRDefault="00052112" w:rsidP="009618F9">
            <w:pPr>
              <w:shd w:val="clear" w:color="auto" w:fill="FFFFFF"/>
              <w:suppressAutoHyphens/>
              <w:snapToGrid w:val="0"/>
              <w:spacing w:after="0" w:line="240" w:lineRule="auto"/>
              <w:jc w:val="center"/>
              <w:rPr>
                <w:rFonts w:ascii="Times New Roman" w:hAnsi="Times New Roman"/>
                <w:sz w:val="24"/>
                <w:szCs w:val="24"/>
                <w:lang w:eastAsia="ar-SA"/>
              </w:rPr>
            </w:pPr>
            <w:r w:rsidRPr="000C0E97">
              <w:rPr>
                <w:rFonts w:ascii="Times New Roman" w:hAnsi="Times New Roman"/>
                <w:sz w:val="24"/>
                <w:szCs w:val="24"/>
                <w:lang w:eastAsia="ar-SA"/>
              </w:rPr>
              <w:t>20   (6+14)</w:t>
            </w:r>
          </w:p>
        </w:tc>
        <w:tc>
          <w:tcPr>
            <w:tcW w:w="1620" w:type="dxa"/>
            <w:tcBorders>
              <w:top w:val="single" w:sz="4" w:space="0" w:color="000000"/>
              <w:left w:val="single" w:sz="4" w:space="0" w:color="000000"/>
              <w:bottom w:val="single" w:sz="4" w:space="0" w:color="000000"/>
            </w:tcBorders>
          </w:tcPr>
          <w:p w:rsidR="00052112" w:rsidRPr="000C0E97" w:rsidRDefault="00052112" w:rsidP="009618F9">
            <w:pPr>
              <w:shd w:val="clear" w:color="auto" w:fill="FFFFFF"/>
              <w:suppressAutoHyphens/>
              <w:snapToGrid w:val="0"/>
              <w:spacing w:after="0" w:line="240" w:lineRule="auto"/>
              <w:jc w:val="center"/>
              <w:rPr>
                <w:rFonts w:ascii="Times New Roman" w:hAnsi="Times New Roman"/>
                <w:sz w:val="24"/>
                <w:szCs w:val="24"/>
                <w:lang w:eastAsia="ar-SA"/>
              </w:rPr>
            </w:pPr>
            <w:r w:rsidRPr="000C0E97">
              <w:rPr>
                <w:rFonts w:ascii="Times New Roman" w:hAnsi="Times New Roman"/>
                <w:sz w:val="24"/>
                <w:szCs w:val="24"/>
                <w:lang w:eastAsia="ar-SA"/>
              </w:rPr>
              <w:t>16      (10 + 6)</w:t>
            </w:r>
          </w:p>
        </w:tc>
        <w:tc>
          <w:tcPr>
            <w:tcW w:w="1710" w:type="dxa"/>
            <w:tcBorders>
              <w:top w:val="single" w:sz="4" w:space="0" w:color="000000"/>
              <w:left w:val="single" w:sz="4" w:space="0" w:color="000000"/>
              <w:bottom w:val="single" w:sz="4" w:space="0" w:color="000000"/>
              <w:right w:val="single" w:sz="4" w:space="0" w:color="000000"/>
            </w:tcBorders>
          </w:tcPr>
          <w:p w:rsidR="00052112" w:rsidRPr="000C0E97" w:rsidRDefault="00052112" w:rsidP="009618F9">
            <w:pPr>
              <w:shd w:val="clear" w:color="auto" w:fill="FFFFFF"/>
              <w:suppressAutoHyphens/>
              <w:snapToGrid w:val="0"/>
              <w:spacing w:after="0" w:line="240" w:lineRule="auto"/>
              <w:jc w:val="center"/>
              <w:rPr>
                <w:rFonts w:ascii="Times New Roman" w:hAnsi="Times New Roman"/>
                <w:sz w:val="24"/>
                <w:szCs w:val="24"/>
                <w:lang w:eastAsia="ar-SA"/>
              </w:rPr>
            </w:pPr>
            <w:r w:rsidRPr="000C0E97">
              <w:rPr>
                <w:rFonts w:ascii="Times New Roman" w:hAnsi="Times New Roman"/>
                <w:sz w:val="24"/>
                <w:szCs w:val="24"/>
                <w:lang w:eastAsia="ar-SA"/>
              </w:rPr>
              <w:t>4</w:t>
            </w:r>
          </w:p>
        </w:tc>
      </w:tr>
    </w:tbl>
    <w:p w:rsidR="00052112" w:rsidRPr="000C0E97" w:rsidRDefault="00052112" w:rsidP="009618F9">
      <w:pPr>
        <w:shd w:val="clear" w:color="auto" w:fill="FFFFFF"/>
        <w:suppressAutoHyphens/>
        <w:spacing w:after="0" w:line="240" w:lineRule="auto"/>
        <w:jc w:val="both"/>
        <w:rPr>
          <w:rFonts w:ascii="Times New Roman" w:hAnsi="Times New Roman"/>
          <w:sz w:val="24"/>
          <w:szCs w:val="24"/>
          <w:lang w:eastAsia="ar-SA"/>
        </w:rPr>
      </w:pPr>
      <w:r w:rsidRPr="000C0E97">
        <w:rPr>
          <w:rFonts w:ascii="Times New Roman" w:hAnsi="Times New Roman"/>
          <w:b/>
          <w:sz w:val="24"/>
          <w:szCs w:val="24"/>
          <w:lang w:eastAsia="ar-SA"/>
        </w:rPr>
        <w:t xml:space="preserve">  </w:t>
      </w:r>
      <w:r w:rsidRPr="000C0E97">
        <w:rPr>
          <w:rFonts w:ascii="Times New Roman" w:hAnsi="Times New Roman"/>
          <w:b/>
          <w:sz w:val="24"/>
          <w:szCs w:val="24"/>
          <w:lang w:eastAsia="ar-SA"/>
        </w:rPr>
        <w:tab/>
      </w:r>
      <w:r w:rsidRPr="000C0E97">
        <w:rPr>
          <w:rFonts w:ascii="Times New Roman" w:hAnsi="Times New Roman"/>
          <w:sz w:val="24"/>
          <w:szCs w:val="24"/>
          <w:lang w:eastAsia="ar-SA"/>
        </w:rPr>
        <w:t xml:space="preserve">Moyenne d’âge des résidents : </w:t>
      </w:r>
      <w:r w:rsidRPr="000C0E97">
        <w:rPr>
          <w:rFonts w:ascii="Times New Roman" w:hAnsi="Times New Roman"/>
          <w:sz w:val="24"/>
          <w:szCs w:val="24"/>
          <w:lang w:eastAsia="ar-SA"/>
        </w:rPr>
        <w:tab/>
      </w:r>
      <w:r w:rsidRPr="000C0E97">
        <w:rPr>
          <w:rFonts w:ascii="Times New Roman" w:hAnsi="Times New Roman"/>
          <w:b/>
          <w:sz w:val="24"/>
          <w:szCs w:val="24"/>
          <w:lang w:eastAsia="ar-SA"/>
        </w:rPr>
        <w:t xml:space="preserve">90 ans 7 mois </w:t>
      </w:r>
      <w:r w:rsidRPr="000C0E97">
        <w:rPr>
          <w:rFonts w:ascii="Times New Roman" w:hAnsi="Times New Roman"/>
          <w:sz w:val="24"/>
          <w:szCs w:val="24"/>
          <w:lang w:eastAsia="ar-SA"/>
        </w:rPr>
        <w:t xml:space="preserve"> (</w:t>
      </w:r>
      <w:r w:rsidRPr="000C0E97">
        <w:rPr>
          <w:rFonts w:ascii="Times New Roman" w:hAnsi="Times New Roman"/>
          <w:bCs/>
          <w:sz w:val="24"/>
          <w:szCs w:val="24"/>
          <w:lang w:eastAsia="ar-SA"/>
        </w:rPr>
        <w:t>91.48</w:t>
      </w:r>
      <w:r w:rsidRPr="000C0E97">
        <w:rPr>
          <w:rFonts w:ascii="Times New Roman" w:hAnsi="Times New Roman"/>
          <w:sz w:val="24"/>
          <w:szCs w:val="24"/>
          <w:lang w:eastAsia="ar-SA"/>
        </w:rPr>
        <w:t xml:space="preserve"> ans en 2011</w:t>
      </w:r>
      <w:r w:rsidRPr="000C0E97">
        <w:rPr>
          <w:rFonts w:ascii="Times New Roman" w:hAnsi="Times New Roman"/>
          <w:b/>
          <w:sz w:val="24"/>
          <w:szCs w:val="24"/>
          <w:lang w:eastAsia="ar-SA"/>
        </w:rPr>
        <w:t xml:space="preserve">), </w:t>
      </w:r>
    </w:p>
    <w:p w:rsidR="00052112" w:rsidRPr="000C0E97" w:rsidRDefault="00052112" w:rsidP="009618F9">
      <w:pPr>
        <w:shd w:val="clear" w:color="auto" w:fill="FFFFFF"/>
        <w:suppressAutoHyphens/>
        <w:spacing w:after="0" w:line="240" w:lineRule="auto"/>
        <w:jc w:val="both"/>
        <w:rPr>
          <w:rFonts w:ascii="Times New Roman" w:hAnsi="Times New Roman"/>
          <w:bCs/>
          <w:sz w:val="24"/>
          <w:szCs w:val="24"/>
          <w:lang w:eastAsia="ar-SA"/>
        </w:rPr>
      </w:pPr>
      <w:r w:rsidRPr="000C0E97">
        <w:rPr>
          <w:rFonts w:ascii="Times New Roman" w:hAnsi="Times New Roman"/>
          <w:sz w:val="24"/>
          <w:szCs w:val="24"/>
          <w:lang w:eastAsia="ar-SA"/>
        </w:rPr>
        <w:t xml:space="preserve">    </w:t>
      </w:r>
      <w:r w:rsidRPr="000C0E97">
        <w:rPr>
          <w:rFonts w:ascii="Times New Roman" w:hAnsi="Times New Roman"/>
          <w:sz w:val="24"/>
          <w:szCs w:val="24"/>
          <w:lang w:eastAsia="ar-SA"/>
        </w:rPr>
        <w:tab/>
        <w:t xml:space="preserve">dont </w:t>
      </w:r>
      <w:r w:rsidRPr="000C0E97">
        <w:rPr>
          <w:rFonts w:ascii="Times New Roman" w:hAnsi="Times New Roman"/>
          <w:sz w:val="24"/>
          <w:szCs w:val="24"/>
          <w:lang w:eastAsia="ar-SA"/>
        </w:rPr>
        <w:tab/>
        <w:t xml:space="preserve">Moyenne d’âge des hommes (4) : </w:t>
      </w:r>
      <w:r w:rsidRPr="000C0E97">
        <w:rPr>
          <w:rFonts w:ascii="Times New Roman" w:hAnsi="Times New Roman"/>
          <w:sz w:val="24"/>
          <w:szCs w:val="24"/>
          <w:lang w:eastAsia="ar-SA"/>
        </w:rPr>
        <w:tab/>
      </w:r>
      <w:r w:rsidRPr="000C0E97">
        <w:rPr>
          <w:rFonts w:ascii="Times New Roman" w:hAnsi="Times New Roman"/>
          <w:sz w:val="24"/>
          <w:szCs w:val="24"/>
          <w:lang w:eastAsia="ar-SA"/>
        </w:rPr>
        <w:tab/>
      </w:r>
      <w:r w:rsidRPr="000C0E97">
        <w:rPr>
          <w:rFonts w:ascii="Times New Roman" w:hAnsi="Times New Roman"/>
          <w:b/>
          <w:sz w:val="24"/>
          <w:szCs w:val="24"/>
          <w:lang w:eastAsia="ar-SA"/>
        </w:rPr>
        <w:t>89 ans 10 mois</w:t>
      </w:r>
      <w:r w:rsidRPr="000C0E97">
        <w:rPr>
          <w:rFonts w:ascii="Times New Roman" w:hAnsi="Times New Roman"/>
          <w:sz w:val="24"/>
          <w:szCs w:val="24"/>
          <w:lang w:eastAsia="ar-SA"/>
        </w:rPr>
        <w:t xml:space="preserve">       (</w:t>
      </w:r>
      <w:r w:rsidRPr="000C0E97">
        <w:rPr>
          <w:rFonts w:ascii="Times New Roman" w:hAnsi="Times New Roman"/>
          <w:bCs/>
          <w:sz w:val="24"/>
          <w:szCs w:val="24"/>
          <w:lang w:eastAsia="ar-SA"/>
        </w:rPr>
        <w:t>92,51</w:t>
      </w:r>
      <w:r w:rsidRPr="000C0E97">
        <w:rPr>
          <w:rFonts w:ascii="Times New Roman" w:hAnsi="Times New Roman"/>
          <w:sz w:val="24"/>
          <w:szCs w:val="24"/>
          <w:lang w:eastAsia="ar-SA"/>
        </w:rPr>
        <w:t xml:space="preserve"> ans en2011)</w:t>
      </w:r>
    </w:p>
    <w:p w:rsidR="00052112" w:rsidRPr="000C0E97" w:rsidRDefault="00052112" w:rsidP="009618F9">
      <w:pPr>
        <w:shd w:val="clear" w:color="auto" w:fill="FFFFFF"/>
        <w:suppressAutoHyphens/>
        <w:spacing w:after="0" w:line="240" w:lineRule="auto"/>
        <w:jc w:val="both"/>
        <w:rPr>
          <w:rFonts w:ascii="Times New Roman" w:hAnsi="Times New Roman"/>
          <w:sz w:val="24"/>
          <w:szCs w:val="24"/>
          <w:lang w:eastAsia="ar-SA"/>
        </w:rPr>
      </w:pPr>
      <w:r w:rsidRPr="000C0E97">
        <w:rPr>
          <w:rFonts w:ascii="Times New Roman" w:hAnsi="Times New Roman"/>
          <w:sz w:val="24"/>
          <w:szCs w:val="24"/>
          <w:lang w:eastAsia="ar-SA"/>
        </w:rPr>
        <w:t xml:space="preserve">    </w:t>
      </w:r>
      <w:r w:rsidRPr="000C0E97">
        <w:rPr>
          <w:rFonts w:ascii="Times New Roman" w:hAnsi="Times New Roman"/>
          <w:sz w:val="24"/>
          <w:szCs w:val="24"/>
          <w:lang w:eastAsia="ar-SA"/>
        </w:rPr>
        <w:tab/>
      </w:r>
      <w:r w:rsidRPr="000C0E97">
        <w:rPr>
          <w:rFonts w:ascii="Times New Roman" w:hAnsi="Times New Roman"/>
          <w:sz w:val="24"/>
          <w:szCs w:val="24"/>
          <w:lang w:eastAsia="ar-SA"/>
        </w:rPr>
        <w:tab/>
        <w:t xml:space="preserve">Moyenne d’âge des femmes (38): </w:t>
      </w:r>
      <w:r w:rsidRPr="000C0E97">
        <w:rPr>
          <w:rFonts w:ascii="Times New Roman" w:hAnsi="Times New Roman"/>
          <w:sz w:val="24"/>
          <w:szCs w:val="24"/>
          <w:lang w:eastAsia="ar-SA"/>
        </w:rPr>
        <w:tab/>
      </w:r>
      <w:r w:rsidRPr="000C0E97">
        <w:rPr>
          <w:rFonts w:ascii="Times New Roman" w:hAnsi="Times New Roman"/>
          <w:sz w:val="24"/>
          <w:szCs w:val="24"/>
          <w:lang w:eastAsia="ar-SA"/>
        </w:rPr>
        <w:tab/>
      </w:r>
      <w:r w:rsidRPr="000C0E97">
        <w:rPr>
          <w:rFonts w:ascii="Times New Roman" w:hAnsi="Times New Roman"/>
          <w:b/>
          <w:sz w:val="24"/>
          <w:szCs w:val="24"/>
          <w:lang w:eastAsia="ar-SA"/>
        </w:rPr>
        <w:t>90 ans   7,5 mois</w:t>
      </w:r>
      <w:r w:rsidRPr="000C0E97">
        <w:rPr>
          <w:rFonts w:ascii="Times New Roman" w:hAnsi="Times New Roman"/>
          <w:sz w:val="24"/>
          <w:szCs w:val="24"/>
          <w:lang w:eastAsia="ar-SA"/>
        </w:rPr>
        <w:t xml:space="preserve">    (91,42 ans en 2011)</w:t>
      </w:r>
    </w:p>
    <w:p w:rsidR="00052112" w:rsidRPr="000C0E97" w:rsidRDefault="00052112" w:rsidP="009618F9">
      <w:pPr>
        <w:shd w:val="clear" w:color="auto" w:fill="FFFFFF"/>
        <w:suppressAutoHyphens/>
        <w:spacing w:after="0" w:line="240" w:lineRule="auto"/>
        <w:jc w:val="both"/>
        <w:rPr>
          <w:rFonts w:ascii="Times New Roman" w:hAnsi="Times New Roman"/>
          <w:b/>
          <w:sz w:val="24"/>
          <w:szCs w:val="24"/>
          <w:lang w:eastAsia="ar-SA"/>
        </w:rPr>
      </w:pPr>
    </w:p>
    <w:p w:rsidR="00052112" w:rsidRPr="009618F9" w:rsidRDefault="00052112" w:rsidP="009618F9">
      <w:pPr>
        <w:numPr>
          <w:ilvl w:val="1"/>
          <w:numId w:val="4"/>
        </w:numPr>
        <w:shd w:val="clear" w:color="auto" w:fill="FFFFFF"/>
        <w:suppressAutoHyphens/>
        <w:spacing w:after="0" w:line="240" w:lineRule="auto"/>
        <w:ind w:left="360"/>
        <w:jc w:val="both"/>
        <w:rPr>
          <w:sz w:val="24"/>
          <w:szCs w:val="24"/>
          <w:lang w:eastAsia="ar-SA"/>
        </w:rPr>
      </w:pPr>
      <w:r w:rsidRPr="002D7C41">
        <w:rPr>
          <w:sz w:val="24"/>
          <w:szCs w:val="24"/>
          <w:lang w:eastAsia="ar-SA"/>
        </w:rPr>
        <w:t>18 personnes sont entrées en 2012 (15 F et 3 M</w:t>
      </w:r>
      <w:r w:rsidRPr="009618F9">
        <w:rPr>
          <w:sz w:val="24"/>
          <w:szCs w:val="24"/>
          <w:lang w:eastAsia="ar-SA"/>
        </w:rPr>
        <w:t xml:space="preserve"> ( effet chambre doubles)</w:t>
      </w:r>
      <w:r w:rsidRPr="002D7C41">
        <w:rPr>
          <w:sz w:val="24"/>
          <w:szCs w:val="24"/>
          <w:lang w:eastAsia="ar-SA"/>
        </w:rPr>
        <w:t>), d’âge moyen 87.7 ans (90 ans pour les 3 hommes), de GIR moyen 2,6. Parmi ces personnes, 5 sont décédés dans l’année-même.</w:t>
      </w:r>
    </w:p>
    <w:p w:rsidR="00052112" w:rsidRPr="009618F9" w:rsidRDefault="00052112" w:rsidP="009618F9">
      <w:pPr>
        <w:shd w:val="clear" w:color="auto" w:fill="FFFFFF"/>
        <w:suppressAutoHyphens/>
        <w:spacing w:after="0" w:line="240" w:lineRule="auto"/>
        <w:jc w:val="both"/>
        <w:rPr>
          <w:sz w:val="24"/>
          <w:szCs w:val="24"/>
          <w:lang w:eastAsia="ar-SA"/>
        </w:rPr>
      </w:pPr>
      <w:r w:rsidRPr="009618F9">
        <w:rPr>
          <w:sz w:val="24"/>
          <w:szCs w:val="24"/>
          <w:lang w:eastAsia="ar-SA"/>
        </w:rPr>
        <w:t>Les nouveaux résidents quittent leur domicile à un niveau plus élevé de dépendance. Le cout du reste à charge du résident en EHPAD tend à prolonger le maintien à domicile. Et les entrées font souvent suite à une hospitalisation à la suite de laquelle le retour à domicile est impossible ou difficile.</w:t>
      </w:r>
    </w:p>
    <w:p w:rsidR="00052112" w:rsidRPr="002D7C41" w:rsidRDefault="00052112" w:rsidP="009618F9">
      <w:pPr>
        <w:shd w:val="clear" w:color="auto" w:fill="FFFFFF"/>
        <w:suppressAutoHyphens/>
        <w:spacing w:after="0" w:line="240" w:lineRule="auto"/>
        <w:ind w:left="360"/>
        <w:jc w:val="both"/>
        <w:rPr>
          <w:sz w:val="24"/>
          <w:szCs w:val="24"/>
          <w:lang w:eastAsia="ar-SA"/>
        </w:rPr>
      </w:pPr>
    </w:p>
    <w:p w:rsidR="00052112" w:rsidRPr="009618F9" w:rsidRDefault="00052112" w:rsidP="009618F9">
      <w:pPr>
        <w:pStyle w:val="ListParagraph"/>
        <w:numPr>
          <w:ilvl w:val="1"/>
          <w:numId w:val="4"/>
        </w:numPr>
        <w:shd w:val="clear" w:color="auto" w:fill="FFFFFF"/>
        <w:suppressAutoHyphens/>
        <w:contextualSpacing w:val="0"/>
        <w:jc w:val="both"/>
        <w:rPr>
          <w:b/>
          <w:sz w:val="28"/>
          <w:szCs w:val="28"/>
          <w:u w:val="single"/>
        </w:rPr>
      </w:pPr>
      <w:r w:rsidRPr="009618F9">
        <w:rPr>
          <w:b/>
          <w:sz w:val="28"/>
          <w:szCs w:val="28"/>
          <w:u w:val="single"/>
        </w:rPr>
        <w:t>Durée moyenne de séjour des résidents en 2012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2409"/>
        <w:gridCol w:w="2468"/>
      </w:tblGrid>
      <w:tr w:rsidR="00052112" w:rsidRPr="004D6ACD" w:rsidTr="004D6ACD">
        <w:tc>
          <w:tcPr>
            <w:tcW w:w="5070" w:type="dxa"/>
          </w:tcPr>
          <w:p w:rsidR="00052112" w:rsidRPr="004D6ACD" w:rsidRDefault="00052112" w:rsidP="004D6ACD">
            <w:pPr>
              <w:shd w:val="clear" w:color="auto" w:fill="FFFFFF"/>
              <w:tabs>
                <w:tab w:val="left" w:pos="2100"/>
                <w:tab w:val="center" w:pos="4536"/>
              </w:tabs>
              <w:spacing w:after="0" w:line="240" w:lineRule="auto"/>
              <w:ind w:right="349"/>
              <w:jc w:val="both"/>
              <w:rPr>
                <w:rFonts w:ascii="Times New Roman" w:hAnsi="Times New Roman"/>
                <w:sz w:val="20"/>
                <w:szCs w:val="20"/>
                <w:lang w:eastAsia="fr-FR"/>
              </w:rPr>
            </w:pPr>
            <w:r w:rsidRPr="004D6ACD">
              <w:rPr>
                <w:rFonts w:ascii="Times New Roman" w:hAnsi="Times New Roman"/>
                <w:sz w:val="20"/>
                <w:szCs w:val="20"/>
                <w:lang w:eastAsia="fr-FR"/>
              </w:rPr>
              <w:t>Durée moyenne de séjour</w:t>
            </w:r>
          </w:p>
        </w:tc>
        <w:tc>
          <w:tcPr>
            <w:tcW w:w="2409" w:type="dxa"/>
          </w:tcPr>
          <w:p w:rsidR="00052112" w:rsidRPr="004D6ACD" w:rsidRDefault="00052112" w:rsidP="004D6ACD">
            <w:pPr>
              <w:shd w:val="clear" w:color="auto" w:fill="FFFFFF"/>
              <w:tabs>
                <w:tab w:val="left" w:pos="2100"/>
                <w:tab w:val="center" w:pos="4536"/>
              </w:tabs>
              <w:spacing w:after="0" w:line="240" w:lineRule="auto"/>
              <w:ind w:right="349"/>
              <w:jc w:val="both"/>
              <w:rPr>
                <w:rFonts w:ascii="Times New Roman" w:hAnsi="Times New Roman"/>
                <w:sz w:val="20"/>
                <w:szCs w:val="20"/>
                <w:lang w:eastAsia="fr-FR"/>
              </w:rPr>
            </w:pPr>
            <w:r w:rsidRPr="004D6ACD">
              <w:rPr>
                <w:rFonts w:ascii="Times New Roman" w:hAnsi="Times New Roman"/>
                <w:sz w:val="20"/>
                <w:szCs w:val="20"/>
                <w:lang w:eastAsia="fr-FR"/>
              </w:rPr>
              <w:t>2011</w:t>
            </w:r>
          </w:p>
        </w:tc>
        <w:tc>
          <w:tcPr>
            <w:tcW w:w="2468" w:type="dxa"/>
          </w:tcPr>
          <w:p w:rsidR="00052112" w:rsidRPr="004D6ACD" w:rsidRDefault="00052112" w:rsidP="004D6ACD">
            <w:pPr>
              <w:shd w:val="clear" w:color="auto" w:fill="FFFFFF"/>
              <w:tabs>
                <w:tab w:val="left" w:pos="2100"/>
                <w:tab w:val="center" w:pos="4536"/>
              </w:tabs>
              <w:spacing w:after="0" w:line="240" w:lineRule="auto"/>
              <w:ind w:right="349"/>
              <w:jc w:val="both"/>
              <w:rPr>
                <w:rFonts w:ascii="Times New Roman" w:hAnsi="Times New Roman"/>
                <w:sz w:val="20"/>
                <w:szCs w:val="20"/>
                <w:lang w:eastAsia="fr-FR"/>
              </w:rPr>
            </w:pPr>
            <w:r w:rsidRPr="004D6ACD">
              <w:rPr>
                <w:rFonts w:ascii="Times New Roman" w:hAnsi="Times New Roman"/>
                <w:sz w:val="20"/>
                <w:szCs w:val="20"/>
                <w:lang w:eastAsia="fr-FR"/>
              </w:rPr>
              <w:t>2012</w:t>
            </w:r>
          </w:p>
        </w:tc>
      </w:tr>
      <w:tr w:rsidR="00052112" w:rsidRPr="004D6ACD" w:rsidTr="004D6ACD">
        <w:tc>
          <w:tcPr>
            <w:tcW w:w="5070" w:type="dxa"/>
          </w:tcPr>
          <w:p w:rsidR="00052112" w:rsidRPr="004D6ACD" w:rsidRDefault="00052112" w:rsidP="004D6ACD">
            <w:pPr>
              <w:shd w:val="clear" w:color="auto" w:fill="FFFFFF"/>
              <w:tabs>
                <w:tab w:val="left" w:pos="2100"/>
                <w:tab w:val="center" w:pos="4536"/>
              </w:tabs>
              <w:spacing w:after="0" w:line="240" w:lineRule="auto"/>
              <w:ind w:right="349"/>
              <w:jc w:val="both"/>
              <w:rPr>
                <w:rFonts w:ascii="Times New Roman" w:hAnsi="Times New Roman"/>
                <w:sz w:val="20"/>
                <w:szCs w:val="20"/>
                <w:lang w:eastAsia="fr-FR"/>
              </w:rPr>
            </w:pPr>
            <w:r w:rsidRPr="004D6ACD">
              <w:rPr>
                <w:rFonts w:ascii="Times New Roman" w:hAnsi="Times New Roman"/>
                <w:sz w:val="20"/>
                <w:szCs w:val="20"/>
                <w:lang w:eastAsia="fr-FR"/>
              </w:rPr>
              <w:t xml:space="preserve">Résidents présents du 01/01 au 31/12 </w:t>
            </w:r>
          </w:p>
        </w:tc>
        <w:tc>
          <w:tcPr>
            <w:tcW w:w="2409" w:type="dxa"/>
          </w:tcPr>
          <w:p w:rsidR="00052112" w:rsidRPr="004D6ACD" w:rsidRDefault="00052112" w:rsidP="004D6ACD">
            <w:pPr>
              <w:shd w:val="clear" w:color="auto" w:fill="FFFFFF"/>
              <w:tabs>
                <w:tab w:val="left" w:pos="2100"/>
                <w:tab w:val="center" w:pos="4536"/>
              </w:tabs>
              <w:spacing w:after="0" w:line="240" w:lineRule="auto"/>
              <w:ind w:right="349"/>
              <w:jc w:val="both"/>
              <w:rPr>
                <w:rFonts w:ascii="Times New Roman" w:hAnsi="Times New Roman"/>
                <w:sz w:val="20"/>
                <w:szCs w:val="20"/>
                <w:lang w:eastAsia="fr-FR"/>
              </w:rPr>
            </w:pPr>
            <w:r w:rsidRPr="004D6ACD">
              <w:rPr>
                <w:rFonts w:ascii="Times New Roman" w:hAnsi="Times New Roman"/>
                <w:sz w:val="20"/>
                <w:szCs w:val="20"/>
                <w:lang w:eastAsia="fr-FR"/>
              </w:rPr>
              <w:t>6,26 ans</w:t>
            </w:r>
          </w:p>
        </w:tc>
        <w:tc>
          <w:tcPr>
            <w:tcW w:w="2468" w:type="dxa"/>
          </w:tcPr>
          <w:p w:rsidR="00052112" w:rsidRPr="004D6ACD" w:rsidRDefault="00052112" w:rsidP="004D6ACD">
            <w:pPr>
              <w:shd w:val="clear" w:color="auto" w:fill="FFFFFF"/>
              <w:tabs>
                <w:tab w:val="left" w:pos="2100"/>
                <w:tab w:val="center" w:pos="4536"/>
              </w:tabs>
              <w:spacing w:after="0" w:line="240" w:lineRule="auto"/>
              <w:ind w:right="349"/>
              <w:jc w:val="both"/>
              <w:rPr>
                <w:rFonts w:ascii="Times New Roman" w:hAnsi="Times New Roman"/>
                <w:sz w:val="20"/>
                <w:szCs w:val="20"/>
                <w:lang w:eastAsia="fr-FR"/>
              </w:rPr>
            </w:pPr>
            <w:r w:rsidRPr="004D6ACD">
              <w:rPr>
                <w:rFonts w:ascii="Times New Roman" w:hAnsi="Times New Roman"/>
                <w:sz w:val="20"/>
                <w:szCs w:val="20"/>
                <w:lang w:eastAsia="fr-FR"/>
              </w:rPr>
              <w:t>4,88 ans</w:t>
            </w:r>
          </w:p>
        </w:tc>
      </w:tr>
      <w:tr w:rsidR="00052112" w:rsidRPr="004D6ACD" w:rsidTr="004D6ACD">
        <w:tc>
          <w:tcPr>
            <w:tcW w:w="5070" w:type="dxa"/>
          </w:tcPr>
          <w:p w:rsidR="00052112" w:rsidRPr="004D6ACD" w:rsidRDefault="00052112" w:rsidP="004D6ACD">
            <w:pPr>
              <w:shd w:val="clear" w:color="auto" w:fill="FFFFFF"/>
              <w:tabs>
                <w:tab w:val="left" w:pos="2100"/>
                <w:tab w:val="center" w:pos="4536"/>
              </w:tabs>
              <w:spacing w:after="0" w:line="240" w:lineRule="auto"/>
              <w:ind w:right="349"/>
              <w:jc w:val="both"/>
              <w:rPr>
                <w:rFonts w:ascii="Times New Roman" w:hAnsi="Times New Roman"/>
                <w:sz w:val="20"/>
                <w:szCs w:val="20"/>
                <w:lang w:eastAsia="fr-FR"/>
              </w:rPr>
            </w:pPr>
            <w:r w:rsidRPr="004D6ACD">
              <w:rPr>
                <w:rFonts w:ascii="Times New Roman" w:hAnsi="Times New Roman"/>
                <w:sz w:val="20"/>
                <w:szCs w:val="20"/>
                <w:lang w:eastAsia="fr-FR"/>
              </w:rPr>
              <w:t>Résidents décédés dans l’année</w:t>
            </w:r>
          </w:p>
        </w:tc>
        <w:tc>
          <w:tcPr>
            <w:tcW w:w="2409" w:type="dxa"/>
          </w:tcPr>
          <w:p w:rsidR="00052112" w:rsidRPr="004D6ACD" w:rsidRDefault="00052112" w:rsidP="004D6ACD">
            <w:pPr>
              <w:shd w:val="clear" w:color="auto" w:fill="FFFFFF"/>
              <w:tabs>
                <w:tab w:val="left" w:pos="2100"/>
                <w:tab w:val="center" w:pos="4536"/>
              </w:tabs>
              <w:spacing w:after="0" w:line="240" w:lineRule="auto"/>
              <w:ind w:right="349"/>
              <w:jc w:val="both"/>
              <w:rPr>
                <w:rFonts w:ascii="Times New Roman" w:hAnsi="Times New Roman"/>
                <w:sz w:val="20"/>
                <w:szCs w:val="20"/>
                <w:lang w:eastAsia="fr-FR"/>
              </w:rPr>
            </w:pPr>
            <w:r w:rsidRPr="004D6ACD">
              <w:rPr>
                <w:rFonts w:ascii="Times New Roman" w:hAnsi="Times New Roman"/>
                <w:sz w:val="20"/>
                <w:szCs w:val="20"/>
                <w:lang w:eastAsia="fr-FR"/>
              </w:rPr>
              <w:t>4,65 ans</w:t>
            </w:r>
          </w:p>
        </w:tc>
        <w:tc>
          <w:tcPr>
            <w:tcW w:w="2468" w:type="dxa"/>
          </w:tcPr>
          <w:p w:rsidR="00052112" w:rsidRPr="004D6ACD" w:rsidRDefault="00052112" w:rsidP="004D6ACD">
            <w:pPr>
              <w:shd w:val="clear" w:color="auto" w:fill="FFFFFF"/>
              <w:tabs>
                <w:tab w:val="left" w:pos="2100"/>
                <w:tab w:val="center" w:pos="4536"/>
              </w:tabs>
              <w:spacing w:after="0" w:line="240" w:lineRule="auto"/>
              <w:ind w:right="349"/>
              <w:jc w:val="both"/>
              <w:rPr>
                <w:rFonts w:ascii="Times New Roman" w:hAnsi="Times New Roman"/>
                <w:sz w:val="20"/>
                <w:szCs w:val="20"/>
                <w:lang w:eastAsia="fr-FR"/>
              </w:rPr>
            </w:pPr>
            <w:r w:rsidRPr="004D6ACD">
              <w:rPr>
                <w:rFonts w:ascii="Times New Roman" w:hAnsi="Times New Roman"/>
                <w:sz w:val="20"/>
                <w:szCs w:val="20"/>
                <w:lang w:eastAsia="fr-FR"/>
              </w:rPr>
              <w:t>4,92 ans</w:t>
            </w:r>
          </w:p>
        </w:tc>
      </w:tr>
    </w:tbl>
    <w:p w:rsidR="00052112" w:rsidRPr="009618F9" w:rsidRDefault="00052112" w:rsidP="009618F9">
      <w:pPr>
        <w:shd w:val="clear" w:color="auto" w:fill="FFFFFF"/>
        <w:tabs>
          <w:tab w:val="left" w:pos="2100"/>
          <w:tab w:val="center" w:pos="4536"/>
        </w:tabs>
        <w:ind w:right="349"/>
        <w:jc w:val="both"/>
      </w:pPr>
      <w:r w:rsidRPr="009618F9">
        <w:t xml:space="preserve">Parmi les 17  personnes sorties au cours de l’année 2012, 8 ont une durée de séjour inférieure à 1 an, et 7 de plus de cinq ans (dont une présente depuis 11 ans et une autre depuis 23 ans). Ces chiffres démontrent une inexorable diminution des durées de séjour en EHPAD. Le nombre de décès intervenant dans l’année d’entrée tend à augmenter :  6 en 2012 contre 3 en 2011. </w:t>
      </w:r>
    </w:p>
    <w:p w:rsidR="00052112" w:rsidRPr="009618F9" w:rsidRDefault="00052112" w:rsidP="009618F9">
      <w:pPr>
        <w:shd w:val="clear" w:color="auto" w:fill="FFFFFF"/>
        <w:rPr>
          <w:u w:val="single"/>
        </w:rPr>
      </w:pPr>
      <w:r w:rsidRPr="009618F9">
        <w:rPr>
          <w:u w:val="single"/>
        </w:rPr>
        <w:t>Les ambitions de l’EHPAD ST AUGUSTIN</w:t>
      </w:r>
    </w:p>
    <w:p w:rsidR="00052112" w:rsidRPr="009618F9" w:rsidRDefault="00052112" w:rsidP="009618F9">
      <w:pPr>
        <w:shd w:val="clear" w:color="auto" w:fill="FFFFFF"/>
      </w:pPr>
      <w:r w:rsidRPr="009618F9">
        <w:t>Répondre à l’évolution des besoins des personnes âgées de proximité, par</w:t>
      </w:r>
    </w:p>
    <w:p w:rsidR="00052112" w:rsidRPr="009618F9" w:rsidRDefault="00052112" w:rsidP="009618F9">
      <w:pPr>
        <w:pStyle w:val="ListParagraph"/>
        <w:numPr>
          <w:ilvl w:val="0"/>
          <w:numId w:val="5"/>
        </w:numPr>
        <w:shd w:val="clear" w:color="auto" w:fill="FFFFFF"/>
      </w:pPr>
      <w:r w:rsidRPr="009618F9">
        <w:t>L’amélioration de la qualité d’accueil //Généralisation de l’accueil en chambre individuelle, salle de soins, salon de coiffure, soins de bien être , accès wifi</w:t>
      </w:r>
    </w:p>
    <w:p w:rsidR="00052112" w:rsidRPr="009618F9" w:rsidRDefault="00052112" w:rsidP="009618F9">
      <w:pPr>
        <w:pStyle w:val="ListParagraph"/>
        <w:numPr>
          <w:ilvl w:val="0"/>
          <w:numId w:val="5"/>
        </w:numPr>
        <w:shd w:val="clear" w:color="auto" w:fill="FFFFFF"/>
      </w:pPr>
      <w:r w:rsidRPr="009618F9">
        <w:t>Une plus grande sécurisation de l’accueil pour les personnes désorientées//contrôle accès/vidéo protection</w:t>
      </w:r>
    </w:p>
    <w:p w:rsidR="00052112" w:rsidRPr="009618F9" w:rsidRDefault="00052112" w:rsidP="009618F9">
      <w:pPr>
        <w:pStyle w:val="ListParagraph"/>
        <w:numPr>
          <w:ilvl w:val="0"/>
          <w:numId w:val="5"/>
        </w:numPr>
        <w:shd w:val="clear" w:color="auto" w:fill="FFFFFF"/>
        <w:spacing w:after="0" w:line="240" w:lineRule="auto"/>
      </w:pPr>
      <w:r w:rsidRPr="009618F9">
        <w:t>La Professionnalisation de l’équipe soignante : parcours VAE AS + réorganisation fonctionnelle+  limitation des glissements de tâches + formation ASG, Augmentation de présence IDE, Salle de soins de Kyné</w:t>
      </w:r>
    </w:p>
    <w:p w:rsidR="00052112" w:rsidRPr="009618F9" w:rsidRDefault="00052112" w:rsidP="009618F9">
      <w:pPr>
        <w:pStyle w:val="ListParagraph"/>
        <w:numPr>
          <w:ilvl w:val="0"/>
          <w:numId w:val="5"/>
        </w:numPr>
        <w:shd w:val="clear" w:color="auto" w:fill="FFFFFF"/>
        <w:spacing w:after="0" w:line="240" w:lineRule="auto"/>
      </w:pPr>
      <w:r w:rsidRPr="009618F9">
        <w:t xml:space="preserve">Améliorer les conditions de travail du personnel par la limitation des efforts physiques avec l’utilisation de rails de transfert. </w:t>
      </w:r>
    </w:p>
    <w:p w:rsidR="00052112" w:rsidRPr="009618F9" w:rsidRDefault="00052112" w:rsidP="009618F9">
      <w:pPr>
        <w:pStyle w:val="ListParagraph"/>
        <w:numPr>
          <w:ilvl w:val="0"/>
          <w:numId w:val="5"/>
        </w:numPr>
        <w:shd w:val="clear" w:color="auto" w:fill="FFFFFF"/>
        <w:spacing w:after="0" w:line="240" w:lineRule="auto"/>
      </w:pPr>
      <w:r w:rsidRPr="009618F9">
        <w:t>Le développement d’une prise en charges adaptée aux personnes atteintes de la maladie d’Alzheimer.</w:t>
      </w:r>
    </w:p>
    <w:p w:rsidR="00052112" w:rsidRPr="009618F9" w:rsidRDefault="00052112" w:rsidP="009618F9">
      <w:pPr>
        <w:pStyle w:val="ListParagraph"/>
        <w:numPr>
          <w:ilvl w:val="0"/>
          <w:numId w:val="5"/>
        </w:numPr>
        <w:shd w:val="clear" w:color="auto" w:fill="FFFFFF"/>
      </w:pPr>
      <w:r w:rsidRPr="009618F9">
        <w:t>Offrir des possibilités de repos pour les aidants familiaux par l’Hébergement temporaire t l’accueil de jour</w:t>
      </w:r>
    </w:p>
    <w:p w:rsidR="00052112" w:rsidRDefault="00052112" w:rsidP="009618F9">
      <w:pPr>
        <w:pStyle w:val="ListParagraph"/>
        <w:numPr>
          <w:ilvl w:val="0"/>
          <w:numId w:val="5"/>
        </w:numPr>
        <w:shd w:val="clear" w:color="auto" w:fill="FFFFFF"/>
      </w:pPr>
      <w:r w:rsidRPr="009618F9">
        <w:t xml:space="preserve">Maintenir </w:t>
      </w:r>
      <w:r>
        <w:t>l’esprit familial de notre petite maison de retraite, malgré l’augmentation de capacité.</w:t>
      </w:r>
      <w:bookmarkStart w:id="3" w:name="_GoBack"/>
      <w:bookmarkEnd w:id="3"/>
    </w:p>
    <w:p w:rsidR="00052112" w:rsidRPr="00203C50" w:rsidRDefault="00052112" w:rsidP="009618F9">
      <w:pPr>
        <w:shd w:val="clear" w:color="auto" w:fill="FFFFFF"/>
      </w:pPr>
      <w:r w:rsidRPr="009618F9">
        <w:t>Merci de votre attention</w:t>
      </w:r>
    </w:p>
    <w:sectPr w:rsidR="00052112" w:rsidRPr="00203C50" w:rsidSect="006E3C70">
      <w:type w:val="continuous"/>
      <w:pgSz w:w="11907" w:h="16840" w:code="9"/>
      <w:pgMar w:top="851" w:right="851" w:bottom="851" w:left="851"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112" w:rsidRDefault="00052112" w:rsidP="00F848AB">
      <w:pPr>
        <w:spacing w:after="0" w:line="240" w:lineRule="auto"/>
      </w:pPr>
      <w:r>
        <w:separator/>
      </w:r>
    </w:p>
  </w:endnote>
  <w:endnote w:type="continuationSeparator" w:id="0">
    <w:p w:rsidR="00052112" w:rsidRDefault="00052112" w:rsidP="00F848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112" w:rsidRDefault="00052112" w:rsidP="00F848AB">
      <w:pPr>
        <w:spacing w:after="0" w:line="240" w:lineRule="auto"/>
      </w:pPr>
      <w:r>
        <w:separator/>
      </w:r>
    </w:p>
  </w:footnote>
  <w:footnote w:type="continuationSeparator" w:id="0">
    <w:p w:rsidR="00052112" w:rsidRDefault="00052112" w:rsidP="00F848AB">
      <w:pPr>
        <w:spacing w:after="0" w:line="240" w:lineRule="auto"/>
      </w:pPr>
      <w:r>
        <w:continuationSeparator/>
      </w:r>
    </w:p>
  </w:footnote>
  <w:footnote w:id="1">
    <w:p w:rsidR="00052112" w:rsidRDefault="00052112" w:rsidP="00F848AB">
      <w:pPr>
        <w:pStyle w:val="FootnoteText"/>
      </w:pPr>
      <w:r w:rsidRPr="00C57B3F">
        <w:rPr>
          <w:rStyle w:val="FootnoteReference"/>
          <w:sz w:val="16"/>
        </w:rPr>
        <w:footnoteRef/>
      </w:r>
      <w:r w:rsidRPr="00C57B3F">
        <w:rPr>
          <w:sz w:val="16"/>
        </w:rPr>
        <w:t xml:space="preserve"> PASA : pôle d’activités et de soins adaptés, à la prise en charge des personnes atteintes de la maladie Alzheimer au stade précoce. La prise en charge s’adresse aux résidents permanents, elle a lieu de jour, avec une proposition d’activités thérapeutiques de stimulation cognitive, d’activités de stimulation sensorielle destinées à limiter la progression de la maladie. Il est défini par la mesure 16 du plan Alzheimer 2008-2012</w:t>
      </w:r>
      <w:r w:rsidRPr="002B11CC">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66270"/>
    <w:multiLevelType w:val="hybridMultilevel"/>
    <w:tmpl w:val="5FC8E5B8"/>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636"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50B0D9C"/>
    <w:multiLevelType w:val="hybridMultilevel"/>
    <w:tmpl w:val="1E60A0D6"/>
    <w:lvl w:ilvl="0" w:tplc="CCDCBD70">
      <w:start w:val="1"/>
      <w:numFmt w:val="decimal"/>
      <w:lvlText w:val="%1)"/>
      <w:lvlJc w:val="left"/>
      <w:pPr>
        <w:ind w:left="1065" w:hanging="360"/>
      </w:pPr>
      <w:rPr>
        <w:rFonts w:eastAsia="Times New Roman" w:cs="Times New Roman" w:hint="default"/>
      </w:rPr>
    </w:lvl>
    <w:lvl w:ilvl="1" w:tplc="040C0019" w:tentative="1">
      <w:start w:val="1"/>
      <w:numFmt w:val="lowerLetter"/>
      <w:lvlText w:val="%2."/>
      <w:lvlJc w:val="left"/>
      <w:pPr>
        <w:ind w:left="1785" w:hanging="360"/>
      </w:pPr>
      <w:rPr>
        <w:rFonts w:cs="Times New Roman"/>
      </w:rPr>
    </w:lvl>
    <w:lvl w:ilvl="2" w:tplc="040C001B" w:tentative="1">
      <w:start w:val="1"/>
      <w:numFmt w:val="lowerRoman"/>
      <w:lvlText w:val="%3."/>
      <w:lvlJc w:val="right"/>
      <w:pPr>
        <w:ind w:left="2505" w:hanging="180"/>
      </w:pPr>
      <w:rPr>
        <w:rFonts w:cs="Times New Roman"/>
      </w:rPr>
    </w:lvl>
    <w:lvl w:ilvl="3" w:tplc="040C000F" w:tentative="1">
      <w:start w:val="1"/>
      <w:numFmt w:val="decimal"/>
      <w:lvlText w:val="%4."/>
      <w:lvlJc w:val="left"/>
      <w:pPr>
        <w:ind w:left="3225" w:hanging="360"/>
      </w:pPr>
      <w:rPr>
        <w:rFonts w:cs="Times New Roman"/>
      </w:rPr>
    </w:lvl>
    <w:lvl w:ilvl="4" w:tplc="040C0019" w:tentative="1">
      <w:start w:val="1"/>
      <w:numFmt w:val="lowerLetter"/>
      <w:lvlText w:val="%5."/>
      <w:lvlJc w:val="left"/>
      <w:pPr>
        <w:ind w:left="3945" w:hanging="360"/>
      </w:pPr>
      <w:rPr>
        <w:rFonts w:cs="Times New Roman"/>
      </w:rPr>
    </w:lvl>
    <w:lvl w:ilvl="5" w:tplc="040C001B" w:tentative="1">
      <w:start w:val="1"/>
      <w:numFmt w:val="lowerRoman"/>
      <w:lvlText w:val="%6."/>
      <w:lvlJc w:val="right"/>
      <w:pPr>
        <w:ind w:left="4665" w:hanging="180"/>
      </w:pPr>
      <w:rPr>
        <w:rFonts w:cs="Times New Roman"/>
      </w:rPr>
    </w:lvl>
    <w:lvl w:ilvl="6" w:tplc="040C000F" w:tentative="1">
      <w:start w:val="1"/>
      <w:numFmt w:val="decimal"/>
      <w:lvlText w:val="%7."/>
      <w:lvlJc w:val="left"/>
      <w:pPr>
        <w:ind w:left="5385" w:hanging="360"/>
      </w:pPr>
      <w:rPr>
        <w:rFonts w:cs="Times New Roman"/>
      </w:rPr>
    </w:lvl>
    <w:lvl w:ilvl="7" w:tplc="040C0019" w:tentative="1">
      <w:start w:val="1"/>
      <w:numFmt w:val="lowerLetter"/>
      <w:lvlText w:val="%8."/>
      <w:lvlJc w:val="left"/>
      <w:pPr>
        <w:ind w:left="6105" w:hanging="360"/>
      </w:pPr>
      <w:rPr>
        <w:rFonts w:cs="Times New Roman"/>
      </w:rPr>
    </w:lvl>
    <w:lvl w:ilvl="8" w:tplc="040C001B" w:tentative="1">
      <w:start w:val="1"/>
      <w:numFmt w:val="lowerRoman"/>
      <w:lvlText w:val="%9."/>
      <w:lvlJc w:val="right"/>
      <w:pPr>
        <w:ind w:left="6825" w:hanging="180"/>
      </w:pPr>
      <w:rPr>
        <w:rFonts w:cs="Times New Roman"/>
      </w:rPr>
    </w:lvl>
  </w:abstractNum>
  <w:abstractNum w:abstractNumId="2">
    <w:nsid w:val="439E5730"/>
    <w:multiLevelType w:val="hybridMultilevel"/>
    <w:tmpl w:val="1B56F538"/>
    <w:lvl w:ilvl="0" w:tplc="CCDCBD70">
      <w:start w:val="1"/>
      <w:numFmt w:val="decimal"/>
      <w:lvlText w:val="%1)"/>
      <w:lvlJc w:val="left"/>
      <w:pPr>
        <w:ind w:left="1065" w:hanging="360"/>
      </w:pPr>
      <w:rPr>
        <w:rFonts w:eastAsia="Times New Roman"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460858B1"/>
    <w:multiLevelType w:val="hybridMultilevel"/>
    <w:tmpl w:val="AC3859AE"/>
    <w:lvl w:ilvl="0" w:tplc="6596CBB6">
      <w:numFmt w:val="bullet"/>
      <w:lvlText w:val="-"/>
      <w:lvlJc w:val="left"/>
      <w:pPr>
        <w:ind w:left="1065" w:hanging="360"/>
      </w:pPr>
      <w:rPr>
        <w:rFonts w:ascii="Arial" w:eastAsia="Times New Roman" w:hAnsi="Arial" w:hint="default"/>
      </w:rPr>
    </w:lvl>
    <w:lvl w:ilvl="1" w:tplc="040C0003">
      <w:start w:val="1"/>
      <w:numFmt w:val="bullet"/>
      <w:lvlText w:val="o"/>
      <w:lvlJc w:val="left"/>
      <w:pPr>
        <w:ind w:left="1785" w:hanging="360"/>
      </w:pPr>
      <w:rPr>
        <w:rFonts w:ascii="Courier New" w:hAnsi="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537332EE"/>
    <w:multiLevelType w:val="hybridMultilevel"/>
    <w:tmpl w:val="4406FE74"/>
    <w:lvl w:ilvl="0" w:tplc="10C6FC6A">
      <w:start w:val="1"/>
      <w:numFmt w:val="decimal"/>
      <w:lvlText w:val="%1)"/>
      <w:lvlJc w:val="left"/>
      <w:pPr>
        <w:ind w:left="1065" w:hanging="705"/>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48AB"/>
    <w:rsid w:val="00052112"/>
    <w:rsid w:val="000C0E97"/>
    <w:rsid w:val="00120328"/>
    <w:rsid w:val="00143BC3"/>
    <w:rsid w:val="00185FCB"/>
    <w:rsid w:val="001B410D"/>
    <w:rsid w:val="00203C50"/>
    <w:rsid w:val="002B11CC"/>
    <w:rsid w:val="002D7C41"/>
    <w:rsid w:val="00381E92"/>
    <w:rsid w:val="003A62E8"/>
    <w:rsid w:val="004344C2"/>
    <w:rsid w:val="004352BB"/>
    <w:rsid w:val="004C0B08"/>
    <w:rsid w:val="004D6ACD"/>
    <w:rsid w:val="005837BC"/>
    <w:rsid w:val="00625AD2"/>
    <w:rsid w:val="006A2624"/>
    <w:rsid w:val="006D0F2B"/>
    <w:rsid w:val="006E3C70"/>
    <w:rsid w:val="007E4879"/>
    <w:rsid w:val="0084735B"/>
    <w:rsid w:val="00896424"/>
    <w:rsid w:val="008E287D"/>
    <w:rsid w:val="00934E1B"/>
    <w:rsid w:val="009618F9"/>
    <w:rsid w:val="00985435"/>
    <w:rsid w:val="00A6200E"/>
    <w:rsid w:val="00B73D7E"/>
    <w:rsid w:val="00BB7C2B"/>
    <w:rsid w:val="00BD0D09"/>
    <w:rsid w:val="00C425AA"/>
    <w:rsid w:val="00C57B3F"/>
    <w:rsid w:val="00CA1B8D"/>
    <w:rsid w:val="00D6720B"/>
    <w:rsid w:val="00DA18FA"/>
    <w:rsid w:val="00E86C0B"/>
    <w:rsid w:val="00F848A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8F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848A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848AB"/>
    <w:rPr>
      <w:rFonts w:cs="Times New Roman"/>
      <w:sz w:val="20"/>
      <w:szCs w:val="20"/>
    </w:rPr>
  </w:style>
  <w:style w:type="character" w:styleId="FootnoteReference">
    <w:name w:val="footnote reference"/>
    <w:basedOn w:val="DefaultParagraphFont"/>
    <w:uiPriority w:val="99"/>
    <w:semiHidden/>
    <w:rsid w:val="00F848AB"/>
    <w:rPr>
      <w:rFonts w:cs="Times New Roman"/>
      <w:vertAlign w:val="superscript"/>
    </w:rPr>
  </w:style>
  <w:style w:type="paragraph" w:styleId="ListParagraph">
    <w:name w:val="List Paragraph"/>
    <w:basedOn w:val="Normal"/>
    <w:uiPriority w:val="99"/>
    <w:qFormat/>
    <w:rsid w:val="00C425AA"/>
    <w:pPr>
      <w:ind w:left="720"/>
      <w:contextualSpacing/>
    </w:pPr>
  </w:style>
  <w:style w:type="table" w:styleId="TableGrid">
    <w:name w:val="Table Grid"/>
    <w:basedOn w:val="TableNormal"/>
    <w:uiPriority w:val="99"/>
    <w:rsid w:val="002D7C4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790</Words>
  <Characters>4347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EHPAD ST AUGUSTIN Gérée par la Fondation St Augustin</dc:title>
  <dc:subject/>
  <dc:creator>GOIMBAULT</dc:creator>
  <cp:keywords/>
  <dc:description/>
  <cp:lastModifiedBy>dmorot</cp:lastModifiedBy>
  <cp:revision>2</cp:revision>
  <cp:lastPrinted>2013-05-28T06:14:00Z</cp:lastPrinted>
  <dcterms:created xsi:type="dcterms:W3CDTF">2013-08-21T12:09:00Z</dcterms:created>
  <dcterms:modified xsi:type="dcterms:W3CDTF">2013-08-21T12:09:00Z</dcterms:modified>
</cp:coreProperties>
</file>